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shd w:val="clear" w:color="auto" w:fill="FFFFFF"/>
        <w:wordWrap/>
        <w:spacing w:before="0" w:beforeAutospacing="0" w:after="0" w:afterAutospacing="0" w:line="510" w:lineRule="atLeast"/>
        <w:ind w:left="0" w:leftChars="0" w:right="0"/>
        <w:jc w:val="center"/>
        <w:textAlignment w:val="auto"/>
        <w:outlineLvl w:val="9"/>
        <w:rPr>
          <w:rFonts w:ascii="黑体" w:hAnsi="黑体" w:eastAsia="黑体" w:cs="Arial"/>
          <w:color w:val="000000"/>
          <w:sz w:val="44"/>
          <w:szCs w:val="44"/>
        </w:rPr>
      </w:pPr>
      <w:r>
        <w:rPr>
          <w:rFonts w:hint="eastAsia" w:ascii="黑体" w:hAnsi="黑体" w:eastAsia="黑体" w:cs="Arial"/>
          <w:color w:val="000000"/>
          <w:sz w:val="44"/>
          <w:szCs w:val="44"/>
        </w:rPr>
        <w:t>正宁县</w:t>
      </w:r>
      <w:r>
        <w:rPr>
          <w:rFonts w:hint="eastAsia" w:ascii="黑体" w:hAnsi="黑体" w:eastAsia="黑体" w:cs="Arial"/>
          <w:color w:val="000000"/>
          <w:sz w:val="44"/>
          <w:szCs w:val="44"/>
          <w:lang w:eastAsia="zh-CN"/>
        </w:rPr>
        <w:t>委办公室</w:t>
      </w:r>
      <w:r>
        <w:rPr>
          <w:rFonts w:hint="eastAsia" w:ascii="黑体" w:hAnsi="黑体" w:eastAsia="黑体" w:cs="Arial"/>
          <w:color w:val="000000"/>
          <w:sz w:val="44"/>
          <w:szCs w:val="44"/>
        </w:rPr>
        <w:t>201</w:t>
      </w:r>
      <w:r>
        <w:rPr>
          <w:rFonts w:hint="eastAsia" w:ascii="黑体" w:hAnsi="黑体" w:eastAsia="黑体" w:cs="Arial"/>
          <w:color w:val="000000"/>
          <w:sz w:val="44"/>
          <w:szCs w:val="44"/>
          <w:lang w:val="en-US" w:eastAsia="zh-CN"/>
        </w:rPr>
        <w:t>6</w:t>
      </w:r>
      <w:r>
        <w:rPr>
          <w:rFonts w:hint="eastAsia" w:ascii="黑体" w:hAnsi="黑体" w:eastAsia="黑体" w:cs="Arial"/>
          <w:color w:val="000000"/>
          <w:sz w:val="44"/>
          <w:szCs w:val="44"/>
        </w:rPr>
        <w:t>年部门</w:t>
      </w:r>
      <w:r>
        <w:rPr>
          <w:rFonts w:hint="eastAsia" w:ascii="黑体" w:hAnsi="黑体" w:eastAsia="黑体" w:cs="Arial"/>
          <w:color w:val="000000"/>
          <w:sz w:val="44"/>
          <w:szCs w:val="44"/>
          <w:lang w:eastAsia="zh-CN"/>
        </w:rPr>
        <w:t>决</w:t>
      </w:r>
      <w:r>
        <w:rPr>
          <w:rFonts w:hint="eastAsia" w:ascii="黑体" w:hAnsi="黑体" w:eastAsia="黑体" w:cs="Arial"/>
          <w:color w:val="000000"/>
          <w:sz w:val="44"/>
          <w:szCs w:val="44"/>
        </w:rPr>
        <w:t>算公开信息</w:t>
      </w:r>
    </w:p>
    <w:p>
      <w:pPr>
        <w:pStyle w:val="4"/>
        <w:shd w:val="clear" w:color="auto" w:fill="FFFFFF"/>
        <w:wordWrap/>
        <w:spacing w:before="0" w:beforeAutospacing="0" w:after="0" w:afterAutospacing="0" w:line="510" w:lineRule="atLeast"/>
        <w:ind w:left="0" w:leftChars="0" w:right="0"/>
        <w:jc w:val="center"/>
        <w:textAlignment w:val="auto"/>
        <w:outlineLvl w:val="9"/>
        <w:rPr>
          <w:rFonts w:ascii="黑体" w:hAnsi="黑体" w:eastAsia="黑体" w:cs="Arial"/>
          <w:color w:val="000000"/>
          <w:sz w:val="44"/>
          <w:szCs w:val="44"/>
        </w:rPr>
      </w:pPr>
      <w:r>
        <w:rPr>
          <w:rFonts w:hint="eastAsia" w:ascii="黑体" w:hAnsi="黑体" w:eastAsia="黑体" w:cs="Arial"/>
          <w:color w:val="000000"/>
          <w:sz w:val="44"/>
          <w:szCs w:val="44"/>
        </w:rPr>
        <w:t>情况说明</w:t>
      </w:r>
    </w:p>
    <w:p>
      <w:pPr>
        <w:pStyle w:val="4"/>
        <w:shd w:val="clear" w:color="auto" w:fill="FFFFFF"/>
        <w:wordWrap/>
        <w:spacing w:before="0" w:beforeAutospacing="0" w:after="0" w:afterAutospacing="0" w:line="510" w:lineRule="atLeast"/>
        <w:ind w:left="0" w:leftChars="0" w:right="0"/>
        <w:jc w:val="center"/>
        <w:textAlignment w:val="auto"/>
        <w:outlineLvl w:val="9"/>
        <w:rPr>
          <w:rFonts w:ascii="黑体" w:hAnsi="黑体" w:eastAsia="黑体" w:cs="Arial"/>
          <w:color w:val="000000"/>
          <w:sz w:val="44"/>
          <w:szCs w:val="44"/>
        </w:rPr>
      </w:pPr>
    </w:p>
    <w:p>
      <w:pPr>
        <w:widowControl w:val="0"/>
        <w:wordWrap/>
        <w:spacing w:after="0"/>
        <w:ind w:left="0" w:leftChars="0" w:right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</w:rPr>
        <w:t>根据县政府、财政局要求，现将我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eastAsia="zh-CN"/>
        </w:rPr>
        <w:t>办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</w:rPr>
        <w:t>201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eastAsia="zh-CN"/>
        </w:rPr>
        <w:t>部门决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</w:rPr>
        <w:t>算情况公开如下：</w:t>
      </w:r>
    </w:p>
    <w:p>
      <w:pPr>
        <w:pStyle w:val="4"/>
        <w:widowControl/>
        <w:shd w:val="clear" w:color="auto" w:fill="FFFFFF"/>
        <w:wordWrap/>
        <w:adjustRightInd/>
        <w:snapToGrid/>
        <w:spacing w:before="0" w:beforeAutospacing="0" w:after="0" w:afterAutospacing="0" w:line="400" w:lineRule="exact"/>
        <w:ind w:left="0" w:leftChars="0" w:right="0" w:firstLine="0" w:firstLine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</w:p>
    <w:p>
      <w:pPr>
        <w:pStyle w:val="4"/>
        <w:widowControl/>
        <w:shd w:val="clear" w:color="auto" w:fill="FFFFFF"/>
        <w:wordWrap/>
        <w:adjustRightInd/>
        <w:snapToGrid/>
        <w:spacing w:before="0" w:beforeAutospacing="0" w:after="0" w:afterAutospacing="0" w:line="400" w:lineRule="exact"/>
        <w:ind w:left="0" w:leftChars="0" w:right="0" w:firstLine="0" w:firstLineChars="0"/>
        <w:jc w:val="center"/>
        <w:textAlignment w:val="auto"/>
        <w:outlineLvl w:val="9"/>
        <w:rPr>
          <w:rFonts w:hint="eastAsia"/>
          <w:color w:val="000000"/>
          <w:sz w:val="32"/>
          <w:szCs w:val="32"/>
          <w:shd w:val="clear" w:color="auto" w:fill="FFFFFF"/>
        </w:rPr>
      </w:pPr>
      <w:r>
        <w:rPr>
          <w:rFonts w:hint="eastAsia" w:ascii="黑体" w:hAnsi="黑体" w:eastAsia="黑体" w:cs="Arial"/>
          <w:color w:val="000000"/>
          <w:sz w:val="32"/>
          <w:szCs w:val="32"/>
        </w:rPr>
        <w:t>第一部分</w:t>
      </w:r>
      <w:r>
        <w:rPr>
          <w:rFonts w:hint="eastAsia" w:eastAsia="黑体"/>
          <w:color w:val="000000"/>
          <w:sz w:val="32"/>
          <w:szCs w:val="32"/>
        </w:rPr>
        <w:t xml:space="preserve"> </w:t>
      </w:r>
      <w:r>
        <w:rPr>
          <w:rFonts w:hint="eastAsia" w:eastAsia="黑体"/>
          <w:b w:val="0"/>
          <w:bCs w:val="0"/>
          <w:color w:val="000000"/>
          <w:sz w:val="32"/>
          <w:szCs w:val="32"/>
          <w:lang w:eastAsia="zh-CN"/>
        </w:rPr>
        <w:t>决</w:t>
      </w:r>
      <w:r>
        <w:rPr>
          <w:rFonts w:hint="eastAsia" w:eastAsia="黑体"/>
          <w:b w:val="0"/>
          <w:bCs w:val="0"/>
          <w:color w:val="000000"/>
          <w:sz w:val="32"/>
          <w:szCs w:val="32"/>
        </w:rPr>
        <w:t>算部门基本情况</w:t>
      </w:r>
      <w:r>
        <w:rPr>
          <w:rFonts w:hint="eastAsia" w:ascii="黑体" w:hAnsi="黑体" w:eastAsia="黑体" w:cs="黑体"/>
          <w:b w:val="0"/>
          <w:bCs w:val="0"/>
          <w:color w:val="000000"/>
          <w:sz w:val="32"/>
          <w:szCs w:val="32"/>
          <w:shd w:val="clear" w:color="auto" w:fill="FFFFFF"/>
        </w:rPr>
        <w:t>说明</w:t>
      </w:r>
    </w:p>
    <w:p>
      <w:pPr>
        <w:pStyle w:val="4"/>
        <w:widowControl/>
        <w:shd w:val="clear" w:color="auto" w:fill="FFFFFF"/>
        <w:wordWrap/>
        <w:adjustRightInd/>
        <w:snapToGrid/>
        <w:spacing w:before="0" w:beforeAutospacing="0" w:after="0" w:afterAutospacing="0" w:line="400" w:lineRule="exact"/>
        <w:ind w:left="0" w:leftChars="0" w:right="0" w:firstLine="0" w:firstLineChars="0"/>
        <w:jc w:val="center"/>
        <w:textAlignment w:val="auto"/>
        <w:outlineLvl w:val="9"/>
        <w:rPr>
          <w:rFonts w:hint="eastAsia"/>
          <w:color w:val="000000"/>
          <w:sz w:val="32"/>
          <w:szCs w:val="32"/>
          <w:shd w:val="clear" w:color="auto" w:fill="FFFFFF"/>
        </w:rPr>
      </w:pPr>
    </w:p>
    <w:p>
      <w:pPr>
        <w:pStyle w:val="4"/>
        <w:numPr>
          <w:ilvl w:val="0"/>
          <w:numId w:val="1"/>
        </w:numPr>
        <w:shd w:val="clear" w:color="auto" w:fill="FFFFFF"/>
        <w:wordWrap/>
        <w:spacing w:before="0" w:beforeAutospacing="0" w:after="0" w:afterAutospacing="0" w:line="510" w:lineRule="atLeast"/>
        <w:ind w:left="0" w:leftChars="0" w:right="0" w:firstLine="659" w:firstLineChars="206"/>
        <w:textAlignment w:val="auto"/>
        <w:outlineLvl w:val="9"/>
        <w:rPr>
          <w:rFonts w:hint="eastAsia" w:ascii="黑体" w:hAnsi="黑体" w:eastAsia="黑体" w:cs="Arial"/>
          <w:color w:val="000000"/>
          <w:sz w:val="32"/>
          <w:szCs w:val="32"/>
          <w:shd w:val="clear" w:color="auto" w:fill="FFFFFF"/>
        </w:rPr>
      </w:pPr>
      <w:r>
        <w:rPr>
          <w:rFonts w:hint="eastAsia" w:ascii="黑体" w:hAnsi="黑体" w:eastAsia="黑体" w:cs="Arial"/>
          <w:color w:val="000000"/>
          <w:sz w:val="32"/>
          <w:szCs w:val="32"/>
          <w:shd w:val="clear" w:color="auto" w:fill="FFFFFF"/>
        </w:rPr>
        <w:t>部门职能</w:t>
      </w:r>
    </w:p>
    <w:p>
      <w:pPr>
        <w:widowControl w:val="0"/>
        <w:wordWrap/>
        <w:spacing w:after="0" w:line="600" w:lineRule="exact"/>
        <w:ind w:left="0" w:leftChars="0" w:right="0" w:firstLine="659" w:firstLineChars="206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主要职能是负责县委日常文电的收发处理，县委重要决策和重大工作部署贯彻落实的督促检查，县委领导同志参加的重大活动的组织安排及协调服务，县委重要会议的会务工作；负责县委、县委办文件、文稿的起草、校对、印发工作，负责以县委、县委办名义制发文件的审核工作，负责全县党委系统文件管理的业务指导和文件保密工作；负责信息的收集、处理、报送工作、指导全县党委系统的信息工作，围绕县委总体工作部署，开展调查研究；负责县委机关国有资产管理，财务管理，劳动工资，后勤服务工作；负责县委保密工作、信访工作、机要工作和接待工作；负责县委机关的妇女、工会、计划生育、老干部工作；负责县委机关的安全保卫及综合治理工作；完成县委交办的其它工作任务。</w:t>
      </w:r>
    </w:p>
    <w:p>
      <w:pPr>
        <w:pStyle w:val="4"/>
        <w:widowControl w:val="0"/>
        <w:numPr>
          <w:ilvl w:val="0"/>
          <w:numId w:val="1"/>
        </w:numPr>
        <w:shd w:val="clear" w:color="auto" w:fill="FFFFFF"/>
        <w:wordWrap/>
        <w:spacing w:before="0" w:beforeAutospacing="0" w:after="0" w:afterAutospacing="0" w:line="600" w:lineRule="exact"/>
        <w:ind w:left="0" w:leftChars="0" w:right="0" w:firstLine="660" w:firstLineChars="0"/>
        <w:textAlignment w:val="auto"/>
        <w:outlineLvl w:val="9"/>
        <w:rPr>
          <w:rFonts w:hint="eastAsia" w:ascii="黑体" w:hAnsi="黑体" w:eastAsia="黑体" w:cs="Arial"/>
          <w:color w:val="000000"/>
          <w:sz w:val="32"/>
          <w:szCs w:val="32"/>
        </w:rPr>
      </w:pPr>
      <w:r>
        <w:rPr>
          <w:rFonts w:hint="eastAsia" w:ascii="黑体" w:hAnsi="黑体" w:eastAsia="黑体" w:cs="Arial"/>
          <w:color w:val="000000"/>
          <w:sz w:val="32"/>
          <w:szCs w:val="32"/>
        </w:rPr>
        <w:t>机构设置</w:t>
      </w:r>
    </w:p>
    <w:p>
      <w:pPr>
        <w:pStyle w:val="4"/>
        <w:widowControl w:val="0"/>
        <w:numPr>
          <w:ilvl w:val="0"/>
          <w:numId w:val="0"/>
        </w:numPr>
        <w:shd w:val="clear" w:color="auto" w:fill="FFFFFF"/>
        <w:wordWrap/>
        <w:spacing w:before="0" w:beforeAutospacing="0" w:after="0" w:afterAutospacing="0" w:line="600" w:lineRule="exact"/>
        <w:ind w:left="0" w:leftChars="0" w:right="0" w:firstLine="640" w:firstLineChars="200"/>
        <w:textAlignment w:val="auto"/>
        <w:outlineLvl w:val="9"/>
        <w:rPr>
          <w:rFonts w:hint="eastAsia" w:ascii="黑体" w:hAnsi="黑体" w:eastAsia="黑体" w:cs="Arial"/>
          <w:color w:val="000000"/>
          <w:sz w:val="32"/>
          <w:szCs w:val="32"/>
        </w:rPr>
      </w:pPr>
      <w:r>
        <w:rPr>
          <w:rFonts w:hint="eastAsia" w:ascii="仿宋_GB2312" w:hAnsi="Verdana" w:eastAsia="仿宋_GB2312" w:cs="宋体"/>
          <w:color w:val="333333"/>
          <w:kern w:val="0"/>
          <w:sz w:val="32"/>
          <w:szCs w:val="32"/>
          <w:shd w:val="clear" w:color="auto" w:fill="FFFFFF"/>
        </w:rPr>
        <w:t>县委办公室内设4个机构，分别为中共正宁县委机要局；中共正宁县委政策研究室；中共正宁县委保密委员会办公室；事业机构1个，即县委信息中心</w:t>
      </w:r>
      <w:r>
        <w:rPr>
          <w:rFonts w:hint="eastAsia" w:ascii="仿宋_GB2312" w:hAnsi="Verdana" w:eastAsia="仿宋_GB2312" w:cs="宋体"/>
          <w:color w:val="333333"/>
          <w:kern w:val="0"/>
          <w:sz w:val="32"/>
          <w:szCs w:val="32"/>
          <w:shd w:val="clear" w:color="auto" w:fill="FFFFFF"/>
          <w:lang w:eastAsia="zh-CN"/>
        </w:rPr>
        <w:t>。</w:t>
      </w:r>
    </w:p>
    <w:p>
      <w:pPr>
        <w:pStyle w:val="4"/>
        <w:widowControl w:val="0"/>
        <w:numPr>
          <w:ilvl w:val="0"/>
          <w:numId w:val="1"/>
        </w:numPr>
        <w:shd w:val="clear" w:color="auto" w:fill="FFFFFF"/>
        <w:wordWrap/>
        <w:spacing w:before="0" w:beforeAutospacing="0" w:after="0" w:afterAutospacing="0" w:line="600" w:lineRule="exact"/>
        <w:ind w:left="0" w:leftChars="0" w:right="0" w:firstLine="660" w:firstLineChars="0"/>
        <w:textAlignment w:val="auto"/>
        <w:outlineLvl w:val="9"/>
        <w:rPr>
          <w:rFonts w:hint="eastAsia" w:ascii="黑体" w:hAnsi="黑体" w:eastAsia="黑体" w:cs="Arial"/>
          <w:color w:val="000000"/>
          <w:sz w:val="32"/>
          <w:szCs w:val="32"/>
        </w:rPr>
      </w:pPr>
      <w:r>
        <w:rPr>
          <w:rFonts w:hint="eastAsia" w:ascii="黑体" w:hAnsi="黑体" w:eastAsia="黑体" w:cs="Arial"/>
          <w:color w:val="000000"/>
          <w:sz w:val="32"/>
          <w:szCs w:val="32"/>
        </w:rPr>
        <w:t>人员情况</w:t>
      </w:r>
    </w:p>
    <w:p>
      <w:pPr>
        <w:pStyle w:val="4"/>
        <w:widowControl w:val="0"/>
        <w:numPr>
          <w:ilvl w:val="0"/>
          <w:numId w:val="0"/>
        </w:numPr>
        <w:shd w:val="clear" w:color="auto" w:fill="FFFFFF"/>
        <w:wordWrap/>
        <w:spacing w:before="0" w:beforeAutospacing="0" w:after="0" w:afterAutospacing="0" w:line="600" w:lineRule="exact"/>
        <w:ind w:left="0" w:leftChars="0" w:right="0" w:firstLine="640" w:firstLineChars="200"/>
        <w:textAlignment w:val="auto"/>
        <w:outlineLvl w:val="9"/>
        <w:rPr>
          <w:rFonts w:hint="eastAsia" w:ascii="仿宋_GB2312" w:hAnsi="Verdana" w:eastAsia="仿宋_GB2312" w:cs="宋体"/>
          <w:color w:val="333333"/>
          <w:kern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_GB2312" w:hAnsi="Verdana" w:eastAsia="仿宋_GB2312" w:cs="宋体"/>
          <w:color w:val="333333"/>
          <w:kern w:val="0"/>
          <w:sz w:val="32"/>
          <w:szCs w:val="32"/>
          <w:shd w:val="clear" w:color="auto" w:fill="FFFFFF"/>
        </w:rPr>
        <w:t>机构编制33人，其中行政编制21人，工勤编制10人，事业编制2人</w:t>
      </w:r>
      <w:r>
        <w:rPr>
          <w:rFonts w:hint="eastAsia" w:ascii="仿宋_GB2312" w:hAnsi="Verdana" w:eastAsia="仿宋_GB2312" w:cs="宋体"/>
          <w:color w:val="333333"/>
          <w:kern w:val="0"/>
          <w:sz w:val="32"/>
          <w:szCs w:val="32"/>
          <w:shd w:val="clear" w:color="auto" w:fill="FFFFFF"/>
          <w:lang w:eastAsia="zh-CN"/>
        </w:rPr>
        <w:t>。实有人数在职人数</w:t>
      </w:r>
      <w:r>
        <w:rPr>
          <w:rFonts w:hint="eastAsia" w:ascii="仿宋_GB2312" w:hAnsi="Verdana" w:eastAsia="仿宋_GB2312" w:cs="宋体"/>
          <w:color w:val="333333"/>
          <w:kern w:val="0"/>
          <w:sz w:val="32"/>
          <w:szCs w:val="32"/>
          <w:shd w:val="clear" w:color="auto" w:fill="FFFFFF"/>
          <w:lang w:val="en-US" w:eastAsia="zh-CN"/>
        </w:rPr>
        <w:t>36人，其中：行政20人，事业1人，工勤8人，超编2人，岗位合同工5人（以12月份工资为准）。</w:t>
      </w:r>
    </w:p>
    <w:p>
      <w:pPr>
        <w:pStyle w:val="4"/>
        <w:widowControl w:val="0"/>
        <w:numPr>
          <w:ilvl w:val="0"/>
          <w:numId w:val="0"/>
        </w:numPr>
        <w:shd w:val="clear" w:color="auto" w:fill="FFFFFF"/>
        <w:wordWrap/>
        <w:adjustRightInd/>
        <w:snapToGrid/>
        <w:spacing w:before="0" w:beforeAutospacing="0" w:after="0" w:afterAutospacing="0" w:line="600" w:lineRule="exact"/>
        <w:ind w:left="0" w:leftChars="0" w:right="0" w:firstLine="640" w:firstLineChars="200"/>
        <w:jc w:val="left"/>
        <w:textAlignment w:val="auto"/>
        <w:outlineLvl w:val="9"/>
        <w:rPr>
          <w:rFonts w:hint="eastAsia" w:ascii="仿宋_GB2312" w:hAnsi="Verdana" w:eastAsia="仿宋_GB2312" w:cs="宋体"/>
          <w:color w:val="333333"/>
          <w:kern w:val="0"/>
          <w:sz w:val="32"/>
          <w:szCs w:val="32"/>
          <w:shd w:val="clear" w:color="auto" w:fill="FFFFFF"/>
          <w:lang w:val="en-US" w:eastAsia="zh-CN"/>
        </w:rPr>
      </w:pPr>
    </w:p>
    <w:p>
      <w:pPr>
        <w:pStyle w:val="4"/>
        <w:widowControl w:val="0"/>
        <w:shd w:val="clear" w:color="auto" w:fill="FFFFFF"/>
        <w:wordWrap/>
        <w:adjustRightInd/>
        <w:snapToGrid/>
        <w:spacing w:before="0" w:beforeAutospacing="0" w:after="0" w:afterAutospacing="0" w:line="600" w:lineRule="exact"/>
        <w:ind w:left="0" w:leftChars="0" w:right="0" w:firstLine="0" w:firstLineChars="0"/>
        <w:jc w:val="center"/>
        <w:textAlignment w:val="auto"/>
        <w:outlineLvl w:val="9"/>
        <w:rPr>
          <w:rStyle w:val="6"/>
          <w:rFonts w:hint="eastAsia" w:ascii="黑体" w:hAnsi="黑体" w:eastAsia="黑体" w:cs="黑体"/>
          <w:b w:val="0"/>
          <w:bCs w:val="0"/>
          <w:color w:val="000000"/>
          <w:sz w:val="32"/>
          <w:szCs w:val="32"/>
        </w:rPr>
      </w:pPr>
      <w:r>
        <w:rPr>
          <w:rStyle w:val="6"/>
          <w:rFonts w:hint="eastAsia" w:ascii="黑体" w:hAnsi="黑体" w:eastAsia="黑体" w:cs="黑体"/>
          <w:b w:val="0"/>
          <w:bCs w:val="0"/>
          <w:color w:val="000000"/>
          <w:sz w:val="32"/>
          <w:szCs w:val="32"/>
        </w:rPr>
        <w:t>第二部分部门</w:t>
      </w:r>
      <w:r>
        <w:rPr>
          <w:rStyle w:val="6"/>
          <w:rFonts w:hint="eastAsia" w:ascii="黑体" w:hAnsi="黑体" w:eastAsia="黑体" w:cs="黑体"/>
          <w:b w:val="0"/>
          <w:bCs w:val="0"/>
          <w:color w:val="000000"/>
          <w:sz w:val="32"/>
          <w:szCs w:val="32"/>
          <w:lang w:eastAsia="zh-CN"/>
        </w:rPr>
        <w:t>决</w:t>
      </w:r>
      <w:r>
        <w:rPr>
          <w:rStyle w:val="6"/>
          <w:rFonts w:hint="eastAsia" w:ascii="黑体" w:hAnsi="黑体" w:eastAsia="黑体" w:cs="黑体"/>
          <w:b w:val="0"/>
          <w:bCs w:val="0"/>
          <w:color w:val="000000"/>
          <w:sz w:val="32"/>
          <w:szCs w:val="32"/>
        </w:rPr>
        <w:t>算情况说明</w:t>
      </w:r>
    </w:p>
    <w:p>
      <w:pPr>
        <w:pStyle w:val="4"/>
        <w:widowControl w:val="0"/>
        <w:shd w:val="clear" w:color="auto" w:fill="FFFFFF"/>
        <w:wordWrap/>
        <w:adjustRightInd/>
        <w:snapToGrid/>
        <w:spacing w:before="0" w:beforeAutospacing="0" w:after="0" w:afterAutospacing="0" w:line="600" w:lineRule="exact"/>
        <w:ind w:left="0" w:leftChars="0" w:right="0" w:firstLine="1600" w:firstLineChars="500"/>
        <w:jc w:val="left"/>
        <w:textAlignment w:val="auto"/>
        <w:outlineLvl w:val="9"/>
        <w:rPr>
          <w:rStyle w:val="6"/>
          <w:rFonts w:ascii="黑体" w:hAnsi="黑体" w:eastAsia="黑体" w:cs="黑体"/>
          <w:b w:val="0"/>
          <w:bCs w:val="0"/>
          <w:color w:val="000000"/>
          <w:sz w:val="32"/>
          <w:szCs w:val="32"/>
        </w:rPr>
      </w:pPr>
    </w:p>
    <w:p>
      <w:pPr>
        <w:pStyle w:val="4"/>
        <w:numPr>
          <w:ilvl w:val="0"/>
          <w:numId w:val="2"/>
        </w:numPr>
        <w:shd w:val="clear" w:color="auto" w:fill="FFFFFF"/>
        <w:wordWrap/>
        <w:spacing w:before="0" w:beforeAutospacing="0" w:after="0" w:afterAutospacing="0" w:line="600" w:lineRule="exact"/>
        <w:ind w:left="0" w:leftChars="0" w:right="0" w:firstLine="660" w:firstLineChars="0"/>
        <w:jc w:val="both"/>
        <w:textAlignment w:val="auto"/>
        <w:outlineLvl w:val="9"/>
        <w:rPr>
          <w:rFonts w:ascii="黑体" w:hAnsi="黑体" w:eastAsia="黑体" w:cs="Arial"/>
          <w:color w:val="000000"/>
          <w:sz w:val="32"/>
          <w:szCs w:val="32"/>
        </w:rPr>
      </w:pPr>
      <w:r>
        <w:rPr>
          <w:rFonts w:hint="eastAsia" w:ascii="黑体" w:hAnsi="黑体" w:eastAsia="黑体" w:cs="Arial"/>
          <w:color w:val="000000"/>
          <w:sz w:val="32"/>
          <w:szCs w:val="32"/>
        </w:rPr>
        <w:t>财政拨款收支</w:t>
      </w:r>
      <w:r>
        <w:rPr>
          <w:rFonts w:hint="eastAsia" w:ascii="黑体" w:hAnsi="黑体" w:eastAsia="黑体" w:cs="Arial"/>
          <w:color w:val="000000"/>
          <w:sz w:val="32"/>
          <w:szCs w:val="32"/>
          <w:lang w:eastAsia="zh-CN"/>
        </w:rPr>
        <w:t>决</w:t>
      </w:r>
      <w:r>
        <w:rPr>
          <w:rFonts w:hint="eastAsia" w:ascii="黑体" w:hAnsi="黑体" w:eastAsia="黑体" w:cs="Arial"/>
          <w:color w:val="000000"/>
          <w:sz w:val="32"/>
          <w:szCs w:val="32"/>
        </w:rPr>
        <w:t>算情况说明</w:t>
      </w:r>
    </w:p>
    <w:p>
      <w:pPr>
        <w:pStyle w:val="4"/>
        <w:shd w:val="clear" w:color="auto" w:fill="FFFFFF"/>
        <w:wordWrap/>
        <w:spacing w:before="0" w:beforeAutospacing="0" w:after="0" w:afterAutospacing="0" w:line="600" w:lineRule="exact"/>
        <w:ind w:left="0" w:leftChars="0" w:right="0" w:firstLine="640" w:firstLineChars="200"/>
        <w:textAlignment w:val="auto"/>
        <w:outlineLvl w:val="9"/>
        <w:rPr>
          <w:rFonts w:ascii="仿宋_GB2312" w:hAnsi="Arial" w:eastAsia="仿宋_GB2312" w:cs="Arial"/>
          <w:color w:val="000000"/>
          <w:sz w:val="32"/>
          <w:szCs w:val="32"/>
        </w:rPr>
      </w:pPr>
      <w:r>
        <w:rPr>
          <w:rFonts w:hint="eastAsia" w:ascii="仿宋_GB2312" w:hAnsi="Arial" w:eastAsia="仿宋_GB2312" w:cs="Arial"/>
          <w:color w:val="000000"/>
          <w:sz w:val="32"/>
          <w:szCs w:val="32"/>
        </w:rPr>
        <w:t>按功能分类科目、经济分类科目说明如下：</w:t>
      </w:r>
    </w:p>
    <w:p>
      <w:pPr>
        <w:wordWrap/>
        <w:spacing w:after="0" w:line="600" w:lineRule="exact"/>
        <w:ind w:left="0" w:leftChars="0" w:right="0" w:firstLine="562"/>
        <w:textAlignment w:val="auto"/>
        <w:outlineLvl w:val="9"/>
        <w:rPr>
          <w:rFonts w:ascii="仿宋_GB2312" w:hAnsi="仿宋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" w:eastAsia="仿宋_GB2312" w:cs="仿宋_GB2312"/>
          <w:color w:val="000000"/>
          <w:sz w:val="32"/>
          <w:szCs w:val="32"/>
        </w:rPr>
        <w:t>201</w:t>
      </w:r>
      <w:r>
        <w:rPr>
          <w:rFonts w:hint="eastAsia" w:ascii="仿宋_GB2312" w:hAnsi="仿宋" w:eastAsia="仿宋_GB2312" w:cs="仿宋_GB2312"/>
          <w:color w:val="000000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 w:cs="仿宋_GB2312"/>
          <w:color w:val="000000"/>
          <w:sz w:val="32"/>
          <w:szCs w:val="32"/>
        </w:rPr>
        <w:t>年部门</w:t>
      </w:r>
      <w:r>
        <w:rPr>
          <w:rFonts w:hint="eastAsia" w:ascii="仿宋_GB2312" w:hAnsi="仿宋" w:eastAsia="仿宋_GB2312" w:cs="仿宋_GB2312"/>
          <w:color w:val="000000"/>
          <w:sz w:val="32"/>
          <w:szCs w:val="32"/>
          <w:lang w:eastAsia="zh-CN"/>
        </w:rPr>
        <w:t>决</w:t>
      </w:r>
      <w:r>
        <w:rPr>
          <w:rFonts w:hint="eastAsia" w:ascii="仿宋_GB2312" w:hAnsi="仿宋" w:eastAsia="仿宋_GB2312" w:cs="仿宋_GB2312"/>
          <w:color w:val="000000"/>
          <w:sz w:val="32"/>
          <w:szCs w:val="32"/>
        </w:rPr>
        <w:t xml:space="preserve">算 </w:t>
      </w:r>
      <w:r>
        <w:rPr>
          <w:rFonts w:hint="eastAsia" w:ascii="仿宋_GB2312" w:hAnsi="仿宋" w:eastAsia="仿宋_GB2312" w:cs="仿宋_GB2312"/>
          <w:color w:val="000000"/>
          <w:sz w:val="32"/>
          <w:szCs w:val="32"/>
          <w:lang w:val="en-US" w:eastAsia="zh-CN"/>
        </w:rPr>
        <w:t>672.29</w:t>
      </w:r>
      <w:r>
        <w:rPr>
          <w:rFonts w:hint="eastAsia" w:ascii="仿宋_GB2312" w:hAnsi="仿宋" w:eastAsia="仿宋_GB2312" w:cs="仿宋_GB2312"/>
          <w:color w:val="000000"/>
          <w:sz w:val="32"/>
          <w:szCs w:val="32"/>
        </w:rPr>
        <w:t>万元。其中人员支出</w:t>
      </w:r>
      <w:r>
        <w:rPr>
          <w:rFonts w:hint="eastAsia" w:ascii="仿宋_GB2312" w:hAnsi="仿宋" w:eastAsia="仿宋_GB2312" w:cs="仿宋_GB2312"/>
          <w:color w:val="000000"/>
          <w:sz w:val="32"/>
          <w:szCs w:val="32"/>
          <w:lang w:eastAsia="zh-CN"/>
        </w:rPr>
        <w:t>决</w:t>
      </w:r>
      <w:r>
        <w:rPr>
          <w:rFonts w:hint="eastAsia" w:ascii="仿宋_GB2312" w:hAnsi="仿宋" w:eastAsia="仿宋_GB2312" w:cs="仿宋_GB2312"/>
          <w:color w:val="000000"/>
          <w:sz w:val="32"/>
          <w:szCs w:val="32"/>
        </w:rPr>
        <w:t>算</w:t>
      </w:r>
      <w:r>
        <w:rPr>
          <w:rFonts w:hint="eastAsia" w:ascii="仿宋_GB2312" w:hAnsi="仿宋" w:eastAsia="仿宋_GB2312" w:cs="仿宋_GB2312"/>
          <w:color w:val="000000"/>
          <w:sz w:val="32"/>
          <w:szCs w:val="32"/>
          <w:lang w:val="en-US" w:eastAsia="zh-CN"/>
        </w:rPr>
        <w:t>352.21</w:t>
      </w:r>
      <w:r>
        <w:rPr>
          <w:rFonts w:hint="eastAsia" w:ascii="仿宋_GB2312" w:hAnsi="仿宋" w:eastAsia="仿宋_GB2312" w:cs="仿宋_GB2312"/>
          <w:color w:val="000000"/>
          <w:sz w:val="32"/>
          <w:szCs w:val="32"/>
        </w:rPr>
        <w:t>万元，商品服务支出</w:t>
      </w:r>
      <w:r>
        <w:rPr>
          <w:rFonts w:hint="eastAsia" w:ascii="仿宋_GB2312" w:hAnsi="仿宋" w:eastAsia="仿宋_GB2312" w:cs="仿宋_GB2312"/>
          <w:color w:val="000000"/>
          <w:sz w:val="32"/>
          <w:szCs w:val="32"/>
          <w:lang w:eastAsia="zh-CN"/>
        </w:rPr>
        <w:t>决</w:t>
      </w:r>
      <w:r>
        <w:rPr>
          <w:rFonts w:hint="eastAsia" w:ascii="仿宋_GB2312" w:hAnsi="仿宋" w:eastAsia="仿宋_GB2312" w:cs="仿宋_GB2312"/>
          <w:color w:val="000000"/>
          <w:sz w:val="32"/>
          <w:szCs w:val="32"/>
        </w:rPr>
        <w:t>算</w:t>
      </w:r>
      <w:r>
        <w:rPr>
          <w:rFonts w:hint="eastAsia" w:ascii="仿宋_GB2312" w:hAnsi="仿宋" w:eastAsia="仿宋_GB2312" w:cs="仿宋_GB2312"/>
          <w:color w:val="000000"/>
          <w:sz w:val="32"/>
          <w:szCs w:val="32"/>
          <w:lang w:val="en-US" w:eastAsia="zh-CN"/>
        </w:rPr>
        <w:t>85.15</w:t>
      </w:r>
      <w:r>
        <w:rPr>
          <w:rFonts w:hint="eastAsia" w:ascii="仿宋_GB2312" w:hAnsi="仿宋" w:eastAsia="仿宋_GB2312" w:cs="仿宋_GB2312"/>
          <w:color w:val="000000"/>
          <w:sz w:val="32"/>
          <w:szCs w:val="32"/>
        </w:rPr>
        <w:t>万元，项目支出</w:t>
      </w:r>
      <w:r>
        <w:rPr>
          <w:rFonts w:hint="eastAsia" w:ascii="仿宋_GB2312" w:hAnsi="仿宋" w:eastAsia="仿宋_GB2312" w:cs="仿宋_GB2312"/>
          <w:color w:val="000000"/>
          <w:sz w:val="32"/>
          <w:szCs w:val="32"/>
          <w:lang w:eastAsia="zh-CN"/>
        </w:rPr>
        <w:t>决</w:t>
      </w:r>
      <w:bookmarkStart w:id="0" w:name="_GoBack"/>
      <w:bookmarkEnd w:id="0"/>
      <w:r>
        <w:rPr>
          <w:rFonts w:hint="eastAsia" w:ascii="仿宋_GB2312" w:hAnsi="仿宋" w:eastAsia="仿宋_GB2312" w:cs="仿宋_GB2312"/>
          <w:color w:val="000000"/>
          <w:sz w:val="32"/>
          <w:szCs w:val="32"/>
        </w:rPr>
        <w:t>算</w:t>
      </w:r>
      <w:r>
        <w:rPr>
          <w:rFonts w:hint="eastAsia" w:ascii="仿宋_GB2312" w:hAnsi="仿宋" w:eastAsia="仿宋_GB2312" w:cs="仿宋_GB2312"/>
          <w:color w:val="000000"/>
          <w:sz w:val="32"/>
          <w:szCs w:val="32"/>
          <w:lang w:val="en-US" w:eastAsia="zh-CN"/>
        </w:rPr>
        <w:t>234.93</w:t>
      </w:r>
      <w:r>
        <w:rPr>
          <w:rFonts w:hint="eastAsia" w:ascii="仿宋_GB2312" w:hAnsi="仿宋" w:eastAsia="仿宋_GB2312" w:cs="仿宋_GB2312"/>
          <w:color w:val="000000"/>
          <w:sz w:val="32"/>
          <w:szCs w:val="32"/>
        </w:rPr>
        <w:t>万元。</w:t>
      </w:r>
    </w:p>
    <w:p>
      <w:pPr>
        <w:numPr>
          <w:ilvl w:val="0"/>
          <w:numId w:val="3"/>
        </w:numPr>
        <w:wordWrap/>
        <w:spacing w:after="0" w:line="600" w:lineRule="exact"/>
        <w:ind w:left="0" w:leftChars="0" w:right="0" w:firstLine="480"/>
        <w:textAlignment w:val="auto"/>
        <w:outlineLvl w:val="9"/>
        <w:rPr>
          <w:rFonts w:ascii="仿宋_GB2312" w:hAnsi="仿宋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" w:eastAsia="仿宋_GB2312" w:cs="仿宋_GB2312"/>
          <w:color w:val="000000"/>
          <w:sz w:val="32"/>
          <w:szCs w:val="32"/>
        </w:rPr>
        <w:t>人员支出</w:t>
      </w:r>
      <w:r>
        <w:rPr>
          <w:rFonts w:hint="eastAsia" w:ascii="仿宋_GB2312" w:hAnsi="仿宋" w:eastAsia="仿宋_GB2312" w:cs="仿宋_GB2312"/>
          <w:color w:val="000000"/>
          <w:sz w:val="32"/>
          <w:szCs w:val="32"/>
          <w:lang w:eastAsia="zh-CN"/>
        </w:rPr>
        <w:t>决</w:t>
      </w:r>
      <w:r>
        <w:rPr>
          <w:rFonts w:hint="eastAsia" w:ascii="仿宋_GB2312" w:hAnsi="仿宋" w:eastAsia="仿宋_GB2312" w:cs="仿宋_GB2312"/>
          <w:color w:val="000000"/>
          <w:sz w:val="32"/>
          <w:szCs w:val="32"/>
        </w:rPr>
        <w:t>算</w:t>
      </w:r>
      <w:r>
        <w:rPr>
          <w:rFonts w:hint="eastAsia" w:ascii="仿宋_GB2312" w:hAnsi="仿宋" w:eastAsia="仿宋_GB2312" w:cs="仿宋_GB2312"/>
          <w:color w:val="000000"/>
          <w:sz w:val="32"/>
          <w:szCs w:val="32"/>
          <w:lang w:val="en-US" w:eastAsia="zh-CN"/>
        </w:rPr>
        <w:t>352.21</w:t>
      </w:r>
      <w:r>
        <w:rPr>
          <w:rFonts w:hint="eastAsia" w:ascii="仿宋_GB2312" w:hAnsi="仿宋" w:eastAsia="仿宋_GB2312" w:cs="仿宋_GB2312"/>
          <w:color w:val="000000"/>
          <w:sz w:val="32"/>
          <w:szCs w:val="32"/>
        </w:rPr>
        <w:t>万元。。</w:t>
      </w:r>
    </w:p>
    <w:p>
      <w:pPr>
        <w:numPr>
          <w:ilvl w:val="0"/>
          <w:numId w:val="3"/>
        </w:numPr>
        <w:wordWrap/>
        <w:spacing w:after="0" w:line="600" w:lineRule="exact"/>
        <w:ind w:left="0" w:leftChars="0" w:right="0" w:firstLine="480"/>
        <w:textAlignment w:val="auto"/>
        <w:outlineLvl w:val="9"/>
        <w:rPr>
          <w:rFonts w:ascii="仿宋_GB2312" w:hAnsi="Arial" w:eastAsia="仿宋_GB2312" w:cs="Arial"/>
          <w:color w:val="000000"/>
          <w:sz w:val="32"/>
          <w:szCs w:val="32"/>
        </w:rPr>
      </w:pPr>
      <w:r>
        <w:rPr>
          <w:rFonts w:hint="eastAsia" w:ascii="仿宋_GB2312" w:hAnsi="仿宋" w:eastAsia="仿宋_GB2312" w:cs="仿宋_GB2312"/>
          <w:color w:val="000000"/>
          <w:sz w:val="32"/>
          <w:szCs w:val="32"/>
        </w:rPr>
        <w:t>商品服务支出（公用经费）</w:t>
      </w:r>
      <w:r>
        <w:rPr>
          <w:rFonts w:hint="eastAsia" w:ascii="仿宋_GB2312" w:hAnsi="仿宋" w:eastAsia="仿宋_GB2312" w:cs="仿宋_GB2312"/>
          <w:color w:val="000000"/>
          <w:sz w:val="32"/>
          <w:szCs w:val="32"/>
          <w:lang w:eastAsia="zh-CN"/>
        </w:rPr>
        <w:t>决</w:t>
      </w:r>
      <w:r>
        <w:rPr>
          <w:rFonts w:hint="eastAsia" w:ascii="仿宋_GB2312" w:hAnsi="仿宋" w:eastAsia="仿宋_GB2312" w:cs="仿宋_GB2312"/>
          <w:color w:val="000000"/>
          <w:sz w:val="32"/>
          <w:szCs w:val="32"/>
        </w:rPr>
        <w:t>算</w:t>
      </w:r>
      <w:r>
        <w:rPr>
          <w:rFonts w:hint="eastAsia" w:ascii="仿宋_GB2312" w:hAnsi="仿宋" w:eastAsia="仿宋_GB2312" w:cs="仿宋_GB2312"/>
          <w:color w:val="000000"/>
          <w:sz w:val="32"/>
          <w:szCs w:val="32"/>
          <w:lang w:val="en-US" w:eastAsia="zh-CN"/>
        </w:rPr>
        <w:t>85.15</w:t>
      </w:r>
      <w:r>
        <w:rPr>
          <w:rFonts w:hint="eastAsia" w:ascii="仿宋_GB2312" w:hAnsi="仿宋" w:eastAsia="仿宋_GB2312" w:cs="仿宋_GB2312"/>
          <w:color w:val="000000"/>
          <w:sz w:val="32"/>
          <w:szCs w:val="32"/>
        </w:rPr>
        <w:t>万元。项目支出</w:t>
      </w:r>
      <w:r>
        <w:rPr>
          <w:rFonts w:hint="eastAsia" w:ascii="仿宋_GB2312" w:hAnsi="仿宋" w:eastAsia="仿宋_GB2312" w:cs="仿宋_GB2312"/>
          <w:color w:val="000000"/>
          <w:sz w:val="32"/>
          <w:szCs w:val="32"/>
          <w:lang w:eastAsia="zh-CN"/>
        </w:rPr>
        <w:t>决</w:t>
      </w:r>
      <w:r>
        <w:rPr>
          <w:rFonts w:hint="eastAsia" w:ascii="仿宋_GB2312" w:hAnsi="仿宋" w:eastAsia="仿宋_GB2312" w:cs="仿宋_GB2312"/>
          <w:color w:val="000000"/>
          <w:sz w:val="32"/>
          <w:szCs w:val="32"/>
        </w:rPr>
        <w:t>算</w:t>
      </w:r>
      <w:r>
        <w:rPr>
          <w:rFonts w:hint="eastAsia" w:ascii="仿宋_GB2312" w:hAnsi="仿宋" w:eastAsia="仿宋_GB2312" w:cs="仿宋_GB2312"/>
          <w:color w:val="000000"/>
          <w:sz w:val="32"/>
          <w:szCs w:val="32"/>
          <w:lang w:val="en-US" w:eastAsia="zh-CN"/>
        </w:rPr>
        <w:t>234.93</w:t>
      </w:r>
      <w:r>
        <w:rPr>
          <w:rFonts w:hint="eastAsia" w:ascii="仿宋_GB2312" w:hAnsi="仿宋" w:eastAsia="仿宋_GB2312" w:cs="仿宋_GB2312"/>
          <w:color w:val="000000"/>
          <w:sz w:val="32"/>
          <w:szCs w:val="32"/>
        </w:rPr>
        <w:t>万元。</w:t>
      </w:r>
    </w:p>
    <w:p>
      <w:pPr>
        <w:pStyle w:val="4"/>
        <w:numPr>
          <w:ilvl w:val="0"/>
          <w:numId w:val="4"/>
        </w:numPr>
        <w:shd w:val="clear" w:color="auto" w:fill="FFFFFF"/>
        <w:wordWrap/>
        <w:spacing w:before="0" w:beforeAutospacing="0" w:after="0" w:afterAutospacing="0" w:line="600" w:lineRule="exact"/>
        <w:ind w:left="0" w:leftChars="0" w:right="0" w:firstLine="660" w:firstLineChars="0"/>
        <w:textAlignment w:val="auto"/>
        <w:outlineLvl w:val="9"/>
        <w:rPr>
          <w:rFonts w:ascii="黑体" w:hAnsi="黑体" w:eastAsia="黑体" w:cs="Arial"/>
          <w:color w:val="000000"/>
          <w:sz w:val="32"/>
          <w:szCs w:val="32"/>
        </w:rPr>
      </w:pPr>
      <w:r>
        <w:rPr>
          <w:rFonts w:hint="eastAsia" w:ascii="黑体" w:hAnsi="黑体" w:eastAsia="黑体" w:cs="Arial"/>
          <w:color w:val="000000"/>
          <w:sz w:val="32"/>
          <w:szCs w:val="32"/>
        </w:rPr>
        <w:t>“三公”经费</w:t>
      </w:r>
      <w:r>
        <w:rPr>
          <w:rFonts w:hint="eastAsia" w:ascii="黑体" w:hAnsi="黑体" w:eastAsia="黑体" w:cs="Arial"/>
          <w:color w:val="000000"/>
          <w:sz w:val="32"/>
          <w:szCs w:val="32"/>
          <w:lang w:eastAsia="zh-CN"/>
        </w:rPr>
        <w:t>决</w:t>
      </w:r>
      <w:r>
        <w:rPr>
          <w:rFonts w:hint="eastAsia" w:ascii="黑体" w:hAnsi="黑体" w:eastAsia="黑体" w:cs="Arial"/>
          <w:color w:val="000000"/>
          <w:sz w:val="32"/>
          <w:szCs w:val="32"/>
        </w:rPr>
        <w:t>算说明</w:t>
      </w:r>
    </w:p>
    <w:p>
      <w:pPr>
        <w:pStyle w:val="4"/>
        <w:shd w:val="clear" w:color="auto" w:fill="FFFFFF"/>
        <w:wordWrap/>
        <w:spacing w:before="0" w:beforeAutospacing="0" w:after="0" w:afterAutospacing="0" w:line="600" w:lineRule="exact"/>
        <w:ind w:left="0" w:leftChars="0" w:right="0" w:firstLine="640" w:firstLineChars="200"/>
        <w:textAlignment w:val="auto"/>
        <w:outlineLvl w:val="9"/>
        <w:rPr>
          <w:rFonts w:hint="eastAsia" w:ascii="仿宋_GB2312" w:hAnsi="仿宋" w:eastAsia="仿宋_GB2312" w:cs="仿宋_GB2312"/>
          <w:color w:val="000000"/>
          <w:sz w:val="32"/>
          <w:szCs w:val="32"/>
          <w:lang w:val="en-US" w:eastAsia="zh-CN" w:bidi="ar-SA"/>
        </w:rPr>
      </w:pPr>
      <w:r>
        <w:rPr>
          <w:rFonts w:hint="eastAsia" w:ascii="仿宋_GB2312" w:hAnsi="仿宋" w:eastAsia="仿宋_GB2312" w:cs="仿宋_GB2312"/>
          <w:color w:val="000000"/>
          <w:sz w:val="32"/>
          <w:szCs w:val="32"/>
          <w:lang w:val="en-US" w:eastAsia="zh-CN" w:bidi="ar-SA"/>
        </w:rPr>
        <w:t>2016年公务用车运行维护费决算23.99万元,公务接待费决算0.97万元。</w:t>
      </w:r>
    </w:p>
    <w:p>
      <w:pPr>
        <w:pStyle w:val="4"/>
        <w:shd w:val="clear" w:color="auto" w:fill="FFFFFF"/>
        <w:wordWrap/>
        <w:spacing w:before="0" w:beforeAutospacing="0" w:after="0" w:afterAutospacing="0" w:line="600" w:lineRule="exact"/>
        <w:ind w:left="0" w:leftChars="0" w:right="0" w:firstLine="660" w:firstLineChars="0"/>
        <w:textAlignment w:val="auto"/>
        <w:outlineLvl w:val="9"/>
        <w:rPr>
          <w:rFonts w:ascii="黑体" w:eastAsia="黑体"/>
          <w:color w:val="000000"/>
          <w:sz w:val="32"/>
          <w:szCs w:val="32"/>
        </w:rPr>
      </w:pPr>
      <w:r>
        <w:rPr>
          <w:rFonts w:hint="eastAsia" w:ascii="黑体" w:eastAsia="黑体"/>
          <w:color w:val="000000"/>
          <w:sz w:val="32"/>
          <w:szCs w:val="32"/>
        </w:rPr>
        <w:t>四、政府性基金</w:t>
      </w:r>
      <w:r>
        <w:rPr>
          <w:rFonts w:hint="eastAsia" w:ascii="黑体" w:eastAsia="黑体"/>
          <w:color w:val="000000"/>
          <w:sz w:val="32"/>
          <w:szCs w:val="32"/>
          <w:lang w:eastAsia="zh-CN"/>
        </w:rPr>
        <w:t>决</w:t>
      </w:r>
      <w:r>
        <w:rPr>
          <w:rFonts w:hint="eastAsia" w:ascii="黑体" w:eastAsia="黑体"/>
          <w:color w:val="000000"/>
          <w:sz w:val="32"/>
          <w:szCs w:val="32"/>
        </w:rPr>
        <w:t>算说明</w:t>
      </w:r>
    </w:p>
    <w:p>
      <w:pPr>
        <w:wordWrap/>
        <w:spacing w:after="0" w:line="600" w:lineRule="exact"/>
        <w:ind w:left="0" w:leftChars="0" w:right="0"/>
        <w:textAlignment w:val="auto"/>
        <w:outlineLvl w:val="9"/>
        <w:rPr>
          <w:rFonts w:ascii="仿宋_GB2312" w:eastAsia="仿宋_GB2312"/>
          <w:color w:val="000000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本单位无政府性基金预算</w:t>
      </w:r>
    </w:p>
    <w:p>
      <w:pPr>
        <w:numPr>
          <w:ilvl w:val="0"/>
          <w:numId w:val="5"/>
        </w:numPr>
        <w:wordWrap/>
        <w:spacing w:after="0" w:line="600" w:lineRule="exact"/>
        <w:ind w:left="0" w:leftChars="0" w:right="0" w:firstLine="660" w:firstLineChars="0"/>
        <w:textAlignment w:val="auto"/>
        <w:outlineLvl w:val="9"/>
        <w:rPr>
          <w:rFonts w:hint="eastAsia" w:ascii="黑体" w:eastAsia="黑体"/>
          <w:color w:val="000000"/>
          <w:sz w:val="32"/>
          <w:szCs w:val="32"/>
        </w:rPr>
      </w:pPr>
      <w:r>
        <w:rPr>
          <w:rFonts w:hint="eastAsia" w:ascii="黑体" w:eastAsia="黑体"/>
          <w:color w:val="000000"/>
          <w:sz w:val="32"/>
          <w:szCs w:val="32"/>
        </w:rPr>
        <w:t>国有资本经营</w:t>
      </w:r>
      <w:r>
        <w:rPr>
          <w:rFonts w:hint="eastAsia" w:ascii="黑体" w:eastAsia="黑体"/>
          <w:color w:val="000000"/>
          <w:sz w:val="32"/>
          <w:szCs w:val="32"/>
          <w:lang w:eastAsia="zh-CN"/>
        </w:rPr>
        <w:t>决</w:t>
      </w:r>
      <w:r>
        <w:rPr>
          <w:rFonts w:hint="eastAsia" w:ascii="黑体" w:eastAsia="黑体"/>
          <w:color w:val="000000"/>
          <w:sz w:val="32"/>
          <w:szCs w:val="32"/>
        </w:rPr>
        <w:t>算说明</w:t>
      </w:r>
    </w:p>
    <w:p>
      <w:pPr>
        <w:numPr>
          <w:ilvl w:val="0"/>
          <w:numId w:val="0"/>
        </w:numPr>
        <w:wordWrap/>
        <w:spacing w:after="0" w:line="600" w:lineRule="exact"/>
        <w:ind w:left="0" w:leftChars="0" w:right="0"/>
        <w:textAlignment w:val="auto"/>
        <w:outlineLvl w:val="9"/>
        <w:rPr>
          <w:rFonts w:ascii="仿宋_GB2312" w:eastAsia="仿宋_GB2312"/>
          <w:color w:val="000000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本单位无国有资本经营收入和支出</w:t>
      </w:r>
    </w:p>
    <w:p>
      <w:pPr>
        <w:pStyle w:val="4"/>
        <w:shd w:val="clear" w:color="auto" w:fill="FFFFFF"/>
        <w:wordWrap/>
        <w:spacing w:before="0" w:beforeAutospacing="0" w:after="0" w:afterAutospacing="0" w:line="600" w:lineRule="exact"/>
        <w:ind w:left="0" w:leftChars="0" w:right="0" w:firstLine="660" w:firstLineChars="0"/>
        <w:textAlignment w:val="auto"/>
        <w:outlineLvl w:val="9"/>
        <w:rPr>
          <w:rFonts w:ascii="黑体" w:hAnsi="黑体" w:eastAsia="黑体" w:cs="Arial"/>
          <w:color w:val="000000"/>
          <w:sz w:val="32"/>
          <w:szCs w:val="32"/>
        </w:rPr>
      </w:pPr>
      <w:r>
        <w:rPr>
          <w:rFonts w:hint="eastAsia" w:ascii="黑体" w:eastAsia="黑体"/>
          <w:color w:val="000000"/>
          <w:sz w:val="32"/>
          <w:szCs w:val="32"/>
        </w:rPr>
        <w:t>六、名词解释</w:t>
      </w:r>
      <w:r>
        <w:rPr>
          <w:rFonts w:hint="eastAsia" w:ascii="仿宋_GB2312" w:eastAsia="仿宋_GB2312"/>
          <w:color w:val="000000"/>
          <w:sz w:val="32"/>
          <w:szCs w:val="32"/>
        </w:rPr>
        <w:br w:type="textWrapping"/>
      </w:r>
      <w:r>
        <w:rPr>
          <w:rFonts w:hint="eastAsia" w:ascii="仿宋_GB2312" w:eastAsia="仿宋_GB2312"/>
          <w:color w:val="000000"/>
          <w:sz w:val="32"/>
          <w:szCs w:val="32"/>
        </w:rPr>
        <w:t>  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eastAsia="仿宋_GB2312"/>
          <w:color w:val="000000"/>
          <w:sz w:val="32"/>
          <w:szCs w:val="32"/>
        </w:rPr>
        <w:t>财政拨款收入：指财政当年拨付的资金。</w:t>
      </w:r>
      <w:r>
        <w:rPr>
          <w:rFonts w:hint="eastAsia" w:ascii="仿宋_GB2312" w:eastAsia="仿宋_GB2312"/>
          <w:color w:val="000000"/>
          <w:sz w:val="32"/>
          <w:szCs w:val="32"/>
        </w:rPr>
        <w:br w:type="textWrapping"/>
      </w:r>
      <w:r>
        <w:rPr>
          <w:rFonts w:hint="eastAsia" w:ascii="仿宋_GB2312" w:eastAsia="仿宋_GB2312"/>
          <w:color w:val="000000"/>
          <w:sz w:val="32"/>
          <w:szCs w:val="32"/>
        </w:rPr>
        <w:t>基本支出：指为保障机构正常运转、完成日常工作任务而发生的人员支出和公用支出。</w:t>
      </w:r>
      <w:r>
        <w:rPr>
          <w:rFonts w:hint="eastAsia" w:ascii="仿宋_GB2312" w:eastAsia="仿宋_GB2312"/>
          <w:color w:val="000000"/>
          <w:sz w:val="32"/>
          <w:szCs w:val="32"/>
        </w:rPr>
        <w:br w:type="textWrapping"/>
      </w:r>
      <w:r>
        <w:rPr>
          <w:rFonts w:hint="eastAsia" w:ascii="仿宋_GB2312" w:eastAsia="仿宋_GB2312"/>
          <w:color w:val="000000"/>
          <w:sz w:val="32"/>
          <w:szCs w:val="32"/>
        </w:rPr>
        <w:t>  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eastAsia="仿宋_GB2312"/>
          <w:color w:val="000000"/>
          <w:sz w:val="32"/>
          <w:szCs w:val="32"/>
        </w:rPr>
        <w:t xml:space="preserve"> 项目支出：指在基本支出之外为完成特定任务和事业发展目标所发生的支出。</w:t>
      </w:r>
      <w:r>
        <w:rPr>
          <w:rFonts w:hint="eastAsia" w:ascii="仿宋_GB2312" w:eastAsia="仿宋_GB2312"/>
          <w:color w:val="000000"/>
          <w:sz w:val="32"/>
          <w:szCs w:val="32"/>
        </w:rPr>
        <w:br w:type="textWrapping"/>
      </w:r>
      <w:r>
        <w:rPr>
          <w:rFonts w:hint="eastAsia" w:ascii="仿宋_GB2312" w:eastAsia="仿宋_GB2312"/>
          <w:color w:val="000000"/>
          <w:sz w:val="32"/>
          <w:szCs w:val="32"/>
        </w:rPr>
        <w:t>  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eastAsia="仿宋_GB2312"/>
          <w:color w:val="000000"/>
          <w:sz w:val="32"/>
          <w:szCs w:val="32"/>
        </w:rPr>
        <w:t>年末结转和结余：指本年度或以前年度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决</w:t>
      </w:r>
      <w:r>
        <w:rPr>
          <w:rFonts w:hint="eastAsia" w:ascii="仿宋_GB2312" w:eastAsia="仿宋_GB2312"/>
          <w:color w:val="000000"/>
          <w:sz w:val="32"/>
          <w:szCs w:val="32"/>
        </w:rPr>
        <w:t>算安排，因客观条件发生变化无法按原计划实施，需要延迟到以后年度按有关规定继续使用的资金。</w:t>
      </w:r>
      <w:r>
        <w:rPr>
          <w:rFonts w:hint="eastAsia" w:ascii="仿宋_GB2312" w:eastAsia="仿宋_GB2312"/>
          <w:color w:val="000000"/>
          <w:sz w:val="32"/>
          <w:szCs w:val="32"/>
        </w:rPr>
        <w:br w:type="textWrapping"/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 xml:space="preserve">    </w:t>
      </w:r>
      <w:r>
        <w:rPr>
          <w:rFonts w:hint="eastAsia" w:ascii="仿宋_GB2312" w:eastAsia="仿宋_GB2312"/>
          <w:color w:val="000000"/>
          <w:sz w:val="32"/>
          <w:szCs w:val="32"/>
        </w:rPr>
        <w:t>三公经费：是指部门用财政拨款安排的因公出（境）费，公务用车购置及运行费和公务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接待</w:t>
      </w:r>
      <w:r>
        <w:rPr>
          <w:rFonts w:hint="eastAsia" w:ascii="仿宋_GB2312" w:eastAsia="仿宋_GB2312"/>
          <w:color w:val="000000"/>
          <w:sz w:val="32"/>
          <w:szCs w:val="32"/>
        </w:rPr>
        <w:t>费。</w:t>
      </w:r>
    </w:p>
    <w:p>
      <w:pPr>
        <w:pStyle w:val="4"/>
        <w:shd w:val="clear" w:color="auto" w:fill="FFFFFF"/>
        <w:wordWrap/>
        <w:spacing w:before="0" w:beforeAutospacing="0" w:after="0" w:afterAutospacing="0" w:line="510" w:lineRule="atLeast"/>
        <w:ind w:left="0" w:leftChars="0" w:right="0" w:firstLine="640" w:firstLineChars="200"/>
        <w:textAlignment w:val="auto"/>
        <w:outlineLvl w:val="9"/>
        <w:rPr>
          <w:rFonts w:ascii="黑体" w:hAnsi="黑体" w:eastAsia="黑体" w:cs="Arial"/>
          <w:color w:val="000000"/>
          <w:sz w:val="32"/>
          <w:szCs w:val="32"/>
        </w:rPr>
      </w:pPr>
    </w:p>
    <w:p>
      <w:pPr>
        <w:wordWrap/>
        <w:spacing w:after="0" w:line="220" w:lineRule="atLeast"/>
        <w:ind w:left="0" w:leftChars="0" w:right="0"/>
        <w:textAlignment w:val="auto"/>
        <w:outlineLvl w:val="9"/>
        <w:rPr>
          <w:sz w:val="32"/>
          <w:szCs w:val="32"/>
        </w:rPr>
      </w:pPr>
    </w:p>
    <w:sectPr>
      <w:footerReference r:id="rId3" w:type="default"/>
      <w:pgSz w:w="11906" w:h="16838"/>
      <w:pgMar w:top="1701" w:right="1587" w:bottom="1701" w:left="1587" w:header="708" w:footer="709" w:gutter="0"/>
      <w:cols w:space="720" w:num="1"/>
      <w:rtlGutter w:val="0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Verdana">
    <w:panose1 w:val="020B0604030504040204"/>
    <w:charset w:val="00"/>
    <w:family w:val="auto"/>
    <w:pitch w:val="default"/>
    <w:sig w:usb0="A10006FF" w:usb1="4000205B" w:usb2="00000010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rFonts w:ascii="Tahoma" w:hAnsi="Tahoma" w:eastAsia="微软雅黑" w:cs="黑体"/>
        <w:sz w:val="18"/>
        <w:szCs w:val="18"/>
        <w:lang w:val="en-US" w:eastAsia="zh-CN" w:bidi="ar-SA"/>
      </w:rPr>
      <w:pict>
        <v:rect id="文本框 1" o:spid="_x0000_s4097" o:spt="1" style="position:absolute;left:0pt;margin-top:0pt;height:144pt;width:144pt;mso-position-horizontal:center;mso-position-horizontal-relative:margin;mso-wrap-style:none;z-index:251658240;mso-width-relative:page;mso-height-relative:page;" fillcolor="#FFFFFF" filled="f" o:preferrelative="t" stroked="f" coordsize="21600,21600">
          <v:path/>
          <v:fill on="f" color2="#FFFFFF" focussize="0,0"/>
          <v:stroke on="f"/>
          <v:imagedata gain="65536f" blacklevel="0f" gamma="0" o:title=""/>
          <o:lock v:ext="edit" position="f" selection="f" grouping="f" rotation="f" cropping="f" text="f" aspectratio="f"/>
          <v:textbox inset="0mm,0mm,0mm,0mm" style="mso-fit-shape-to-text:t;">
            <w:txbxContent>
              <w:p>
                <w:pPr>
                  <w:snapToGrid w:val="0"/>
                  <w:rPr>
                    <w:rFonts w:hint="eastAsia" w:eastAsia="微软雅黑"/>
                    <w:sz w:val="18"/>
                    <w:lang w:eastAsia="zh-CN"/>
                  </w:rPr>
                </w:pPr>
                <w:r>
                  <w:rPr>
                    <w:rFonts w:hint="eastAsia"/>
                    <w:sz w:val="18"/>
                    <w:lang w:eastAsia="zh-CN"/>
                  </w:rPr>
                  <w:fldChar w:fldCharType="begin"/>
                </w:r>
                <w:r>
                  <w:rPr>
                    <w:rFonts w:hint="eastAsia"/>
                    <w:sz w:val="18"/>
                    <w:lang w:eastAsia="zh-CN"/>
                  </w:rPr>
                  <w:instrText xml:space="preserve"> PAGE  \* MERGEFORMAT </w:instrText>
                </w:r>
                <w:r>
                  <w:rPr>
                    <w:rFonts w:hint="eastAsia"/>
                    <w:sz w:val="18"/>
                    <w:lang w:eastAsia="zh-CN"/>
                  </w:rPr>
                  <w:fldChar w:fldCharType="separate"/>
                </w:r>
                <w:r>
                  <w:rPr>
                    <w:sz w:val="18"/>
                  </w:rPr>
                  <w:t>1</w:t>
                </w:r>
                <w:r>
                  <w:rPr>
                    <w:rFonts w:hint="eastAsia"/>
                    <w:sz w:val="18"/>
                    <w:lang w:eastAsia="zh-CN"/>
                  </w:rPr>
                  <w:fldChar w:fldCharType="end"/>
                </w:r>
              </w:p>
            </w:txbxContent>
          </v:textbox>
        </v:rect>
      </w:pic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E4A5BB"/>
    <w:multiLevelType w:val="singleLevel"/>
    <w:tmpl w:val="57E4A5BB"/>
    <w:lvl w:ilvl="0" w:tentative="0">
      <w:start w:val="1"/>
      <w:numFmt w:val="chineseCounting"/>
      <w:suff w:val="nothing"/>
      <w:lvlText w:val="（%1）"/>
      <w:lvlJc w:val="left"/>
    </w:lvl>
  </w:abstractNum>
  <w:abstractNum w:abstractNumId="1">
    <w:nsid w:val="593ED4D0"/>
    <w:multiLevelType w:val="singleLevel"/>
    <w:tmpl w:val="593ED4D0"/>
    <w:lvl w:ilvl="0" w:tentative="0">
      <w:start w:val="3"/>
      <w:numFmt w:val="chineseCounting"/>
      <w:suff w:val="nothing"/>
      <w:lvlText w:val="%1、"/>
      <w:lvlJc w:val="left"/>
    </w:lvl>
  </w:abstractNum>
  <w:abstractNum w:abstractNumId="2">
    <w:nsid w:val="593FF423"/>
    <w:multiLevelType w:val="singleLevel"/>
    <w:tmpl w:val="593FF423"/>
    <w:lvl w:ilvl="0" w:tentative="0">
      <w:start w:val="1"/>
      <w:numFmt w:val="chineseCounting"/>
      <w:suff w:val="nothing"/>
      <w:lvlText w:val="%1、"/>
      <w:lvlJc w:val="left"/>
    </w:lvl>
  </w:abstractNum>
  <w:abstractNum w:abstractNumId="3">
    <w:nsid w:val="596D6CA2"/>
    <w:multiLevelType w:val="singleLevel"/>
    <w:tmpl w:val="596D6CA2"/>
    <w:lvl w:ilvl="0" w:tentative="0">
      <w:start w:val="1"/>
      <w:numFmt w:val="chineseCounting"/>
      <w:suff w:val="nothing"/>
      <w:lvlText w:val="%1、"/>
      <w:lvlJc w:val="left"/>
    </w:lvl>
  </w:abstractNum>
  <w:abstractNum w:abstractNumId="4">
    <w:nsid w:val="596D72C1"/>
    <w:multiLevelType w:val="singleLevel"/>
    <w:tmpl w:val="596D72C1"/>
    <w:lvl w:ilvl="0" w:tentative="0">
      <w:start w:val="5"/>
      <w:numFmt w:val="chineseCounting"/>
      <w:suff w:val="nothing"/>
      <w:lvlText w:val="%1、"/>
      <w:lvlJc w:val="left"/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720"/>
  <w:displayHorizontalDrawingGridEvery w:val="0"/>
  <w:displayVerticalDrawingGridEvery w:val="2"/>
  <w:characterSpacingControl w:val="doNotCompress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D31D50"/>
    <w:rsid w:val="00323B43"/>
    <w:rsid w:val="003A381E"/>
    <w:rsid w:val="003D37D8"/>
    <w:rsid w:val="00426133"/>
    <w:rsid w:val="004358AB"/>
    <w:rsid w:val="004B0F41"/>
    <w:rsid w:val="004D3965"/>
    <w:rsid w:val="00566278"/>
    <w:rsid w:val="00745B2E"/>
    <w:rsid w:val="008143B7"/>
    <w:rsid w:val="008875BC"/>
    <w:rsid w:val="008B7726"/>
    <w:rsid w:val="00920218"/>
    <w:rsid w:val="009256AF"/>
    <w:rsid w:val="00A00552"/>
    <w:rsid w:val="00A43E02"/>
    <w:rsid w:val="00B20E5A"/>
    <w:rsid w:val="00D17087"/>
    <w:rsid w:val="00D31D50"/>
    <w:rsid w:val="00DA02CC"/>
    <w:rsid w:val="00E0014A"/>
    <w:rsid w:val="02C50B84"/>
    <w:rsid w:val="05264C32"/>
    <w:rsid w:val="08881159"/>
    <w:rsid w:val="088C63E2"/>
    <w:rsid w:val="089024B4"/>
    <w:rsid w:val="0A6B31AF"/>
    <w:rsid w:val="0CD07F6D"/>
    <w:rsid w:val="0DDB516C"/>
    <w:rsid w:val="0EF2404E"/>
    <w:rsid w:val="0FCE1A50"/>
    <w:rsid w:val="138A4ACC"/>
    <w:rsid w:val="14241447"/>
    <w:rsid w:val="146A4C02"/>
    <w:rsid w:val="19661AB9"/>
    <w:rsid w:val="19F20C4E"/>
    <w:rsid w:val="19F7434C"/>
    <w:rsid w:val="1B2422C4"/>
    <w:rsid w:val="1B3F6424"/>
    <w:rsid w:val="1B4A470E"/>
    <w:rsid w:val="1B6D430C"/>
    <w:rsid w:val="1F0C0116"/>
    <w:rsid w:val="1F445287"/>
    <w:rsid w:val="1FB73708"/>
    <w:rsid w:val="200C6D03"/>
    <w:rsid w:val="257E723B"/>
    <w:rsid w:val="25AC3810"/>
    <w:rsid w:val="25E111EF"/>
    <w:rsid w:val="277D7106"/>
    <w:rsid w:val="29020777"/>
    <w:rsid w:val="29A17B5A"/>
    <w:rsid w:val="2ADF6AEE"/>
    <w:rsid w:val="2E703FAE"/>
    <w:rsid w:val="31BE2DFF"/>
    <w:rsid w:val="35EF4EB0"/>
    <w:rsid w:val="36DC3500"/>
    <w:rsid w:val="37584E5B"/>
    <w:rsid w:val="39007FCE"/>
    <w:rsid w:val="39E90A67"/>
    <w:rsid w:val="3A226B3E"/>
    <w:rsid w:val="3A634A12"/>
    <w:rsid w:val="3CA75C1D"/>
    <w:rsid w:val="3D594597"/>
    <w:rsid w:val="3D773ACC"/>
    <w:rsid w:val="3DCC7409"/>
    <w:rsid w:val="40003FFF"/>
    <w:rsid w:val="42120439"/>
    <w:rsid w:val="42D53624"/>
    <w:rsid w:val="458A1DF2"/>
    <w:rsid w:val="46F003F9"/>
    <w:rsid w:val="47342BC8"/>
    <w:rsid w:val="491603F6"/>
    <w:rsid w:val="4A1324FA"/>
    <w:rsid w:val="4B3E127F"/>
    <w:rsid w:val="4B964C52"/>
    <w:rsid w:val="4F0343D9"/>
    <w:rsid w:val="4F1B1BF2"/>
    <w:rsid w:val="4F9A6EBF"/>
    <w:rsid w:val="4FD60FEA"/>
    <w:rsid w:val="51D13320"/>
    <w:rsid w:val="527C1186"/>
    <w:rsid w:val="540526C4"/>
    <w:rsid w:val="5423036C"/>
    <w:rsid w:val="559F00C2"/>
    <w:rsid w:val="55C5777D"/>
    <w:rsid w:val="561B2ADA"/>
    <w:rsid w:val="57911A66"/>
    <w:rsid w:val="57BC18C4"/>
    <w:rsid w:val="5ACF28EC"/>
    <w:rsid w:val="5BB6080D"/>
    <w:rsid w:val="5CF50A9B"/>
    <w:rsid w:val="5D75578A"/>
    <w:rsid w:val="5E06429B"/>
    <w:rsid w:val="668A55A5"/>
    <w:rsid w:val="67116A00"/>
    <w:rsid w:val="68D62E49"/>
    <w:rsid w:val="6AE81AF8"/>
    <w:rsid w:val="6B6F797E"/>
    <w:rsid w:val="6BC81CD1"/>
    <w:rsid w:val="6C0F2FFB"/>
    <w:rsid w:val="6F1A3EB5"/>
    <w:rsid w:val="7147152E"/>
    <w:rsid w:val="71BF2402"/>
    <w:rsid w:val="722111A2"/>
    <w:rsid w:val="73D00BFE"/>
    <w:rsid w:val="750E3252"/>
    <w:rsid w:val="77125F95"/>
    <w:rsid w:val="773203A5"/>
    <w:rsid w:val="7A633FB4"/>
    <w:rsid w:val="7A8C3D0E"/>
    <w:rsid w:val="7AD826BA"/>
    <w:rsid w:val="7B82315B"/>
    <w:rsid w:val="7D851EB6"/>
    <w:rsid w:val="7F040E9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="黑体"/>
      <w:sz w:val="22"/>
      <w:szCs w:val="22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  <w:style w:type="paragraph" w:styleId="2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3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4">
    <w:name w:val="Normal (Web)"/>
    <w:basedOn w:val="1"/>
    <w:unhideWhenUsed/>
    <w:qFormat/>
    <w:uiPriority w:val="99"/>
    <w:pPr>
      <w:adjustRightInd/>
      <w:snapToGrid/>
      <w:spacing w:before="100" w:beforeAutospacing="1" w:after="100" w:afterAutospacing="1"/>
    </w:pPr>
    <w:rPr>
      <w:rFonts w:ascii="宋体" w:hAnsi="宋体" w:eastAsia="宋体" w:cs="宋体"/>
      <w:sz w:val="24"/>
      <w:szCs w:val="24"/>
    </w:rPr>
  </w:style>
  <w:style w:type="character" w:styleId="6">
    <w:name w:val="Strong"/>
    <w:basedOn w:val="5"/>
    <w:qFormat/>
    <w:uiPriority w:val="22"/>
    <w:rPr>
      <w:b/>
      <w:bCs/>
    </w:rPr>
  </w:style>
  <w:style w:type="character" w:customStyle="1" w:styleId="8">
    <w:name w:val="apple-converted-space"/>
    <w:basedOn w:val="5"/>
    <w:qFormat/>
    <w:uiPriority w:val="0"/>
  </w:style>
  <w:style w:type="character" w:customStyle="1" w:styleId="9">
    <w:name w:val="页眉 Char"/>
    <w:basedOn w:val="5"/>
    <w:link w:val="3"/>
    <w:semiHidden/>
    <w:qFormat/>
    <w:uiPriority w:val="99"/>
    <w:rPr>
      <w:rFonts w:ascii="Tahoma" w:hAnsi="Tahoma"/>
      <w:sz w:val="18"/>
      <w:szCs w:val="18"/>
    </w:rPr>
  </w:style>
  <w:style w:type="character" w:customStyle="1" w:styleId="10">
    <w:name w:val="页脚 Char"/>
    <w:basedOn w:val="5"/>
    <w:link w:val="2"/>
    <w:semiHidden/>
    <w:qFormat/>
    <w:uiPriority w:val="99"/>
    <w:rPr>
      <w:rFonts w:ascii="Tahoma" w:hAnsi="Tahoma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3</Pages>
  <Words>170</Words>
  <Characters>971</Characters>
  <Lines>8</Lines>
  <Paragraphs>2</Paragraphs>
  <ScaleCrop>false</ScaleCrop>
  <LinksUpToDate>false</LinksUpToDate>
  <CharactersWithSpaces>0</CharactersWithSpaces>
  <Application>WPS Office_10.1.0.6393_F1E327BC-269C-435d-A152-05C5408002CA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Administrator</dc:creator>
  <cp:lastModifiedBy>Administrator</cp:lastModifiedBy>
  <cp:lastPrinted>2017-08-11T08:09:32Z</cp:lastPrinted>
  <dcterms:modified xsi:type="dcterms:W3CDTF">2017-08-11T08:13:52Z</dcterms:modified>
  <dc:title>正宁县委办公室2017年部门预算公开信息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2052-10.1.0.6393</vt:lpwstr>
  </property>
</Properties>
</file>