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5</w:t>
      </w:r>
    </w:p>
    <w:p>
      <w:pPr>
        <w:pStyle w:val="2"/>
        <w:rPr>
          <w:rFonts w:hint="eastAsia"/>
          <w:lang w:val="en-US" w:eastAsia="zh-CN"/>
        </w:rPr>
      </w:pPr>
    </w:p>
    <w:p>
      <w:pPr>
        <w:spacing w:line="600" w:lineRule="exact"/>
        <w:jc w:val="center"/>
        <w:rPr>
          <w:rFonts w:hint="eastAsia" w:ascii="宋体" w:hAnsi="宋体" w:eastAsia="方正小标宋简体" w:cs="宋体"/>
          <w:b/>
          <w:bCs w:val="0"/>
          <w:color w:val="auto"/>
          <w:sz w:val="28"/>
          <w:szCs w:val="28"/>
          <w:lang w:val="en-US" w:eastAsia="zh-CN"/>
        </w:rPr>
      </w:pPr>
      <w:r>
        <w:rPr>
          <w:rFonts w:hint="eastAsia" w:ascii="方正小标宋简体" w:hAnsi="方正小标宋简体" w:eastAsia="方正小标宋简体" w:cs="方正小标宋简体"/>
          <w:spacing w:val="-6"/>
          <w:sz w:val="48"/>
          <w:szCs w:val="48"/>
          <w:lang w:eastAsia="zh-CN"/>
        </w:rPr>
        <w:t>正宁县</w:t>
      </w:r>
      <w:r>
        <w:rPr>
          <w:rFonts w:hint="eastAsia" w:ascii="方正小标宋简体" w:hAnsi="方正小标宋简体" w:eastAsia="方正小标宋简体" w:cs="方正小标宋简体"/>
          <w:spacing w:val="-6"/>
          <w:sz w:val="48"/>
          <w:szCs w:val="48"/>
        </w:rPr>
        <w:t>中央专项彩票公益金支持欠发达革命</w:t>
      </w:r>
      <w:r>
        <w:rPr>
          <w:rFonts w:hint="eastAsia" w:ascii="方正小标宋简体" w:hAnsi="方正小标宋简体" w:eastAsia="方正小标宋简体" w:cs="方正小标宋简体"/>
          <w:spacing w:val="-6"/>
          <w:sz w:val="44"/>
          <w:szCs w:val="44"/>
        </w:rPr>
        <w:t>老区</w:t>
      </w:r>
      <w:r>
        <w:rPr>
          <w:rFonts w:hint="eastAsia" w:ascii="方正小标宋简体" w:hAnsi="方正小标宋简体" w:eastAsia="方正小标宋简体" w:cs="方正小标宋简体"/>
          <w:spacing w:val="-6"/>
          <w:sz w:val="44"/>
          <w:szCs w:val="44"/>
          <w:lang w:eastAsia="zh-CN"/>
        </w:rPr>
        <w:t>建设</w:t>
      </w:r>
      <w:r>
        <w:rPr>
          <w:rFonts w:hint="eastAsia" w:ascii="方正小标宋简体" w:hAnsi="方正小标宋简体" w:eastAsia="方正小标宋简体" w:cs="方正小标宋简体"/>
          <w:spacing w:val="-6"/>
          <w:sz w:val="44"/>
          <w:szCs w:val="44"/>
        </w:rPr>
        <w:t>项目</w:t>
      </w:r>
      <w:r>
        <w:rPr>
          <w:rFonts w:hint="eastAsia" w:ascii="方正小标宋简体" w:hAnsi="方正小标宋简体" w:eastAsia="方正小标宋简体" w:cs="方正小标宋简体"/>
          <w:spacing w:val="-6"/>
          <w:sz w:val="44"/>
          <w:szCs w:val="44"/>
          <w:lang w:eastAsia="zh-CN"/>
        </w:rPr>
        <w:t>技术标准</w:t>
      </w:r>
    </w:p>
    <w:p>
      <w:pPr>
        <w:pStyle w:val="12"/>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宋体" w:hAnsi="宋体" w:cs="宋体"/>
          <w:b/>
          <w:bCs w:val="0"/>
          <w:color w:val="auto"/>
          <w:sz w:val="28"/>
          <w:szCs w:val="28"/>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一、道路建设、排水渠维修、庭院硬化、护坡治理</w:t>
      </w:r>
      <w:r>
        <w:rPr>
          <w:rFonts w:hint="eastAsia" w:ascii="黑体" w:hAnsi="黑体" w:eastAsia="黑体" w:cs="黑体"/>
          <w:sz w:val="24"/>
          <w:szCs w:val="24"/>
          <w:lang w:val="en-US" w:eastAsia="zh-CN"/>
        </w:rPr>
        <w:t>技术标准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Cs w:val="0"/>
          <w:sz w:val="24"/>
          <w:szCs w:val="24"/>
        </w:rPr>
      </w:pPr>
      <w:r>
        <w:rPr>
          <w:rFonts w:hint="eastAsia" w:ascii="宋体" w:hAnsi="宋体" w:eastAsia="宋体" w:cs="宋体"/>
          <w:b/>
          <w:bCs w:val="0"/>
          <w:color w:val="auto"/>
          <w:sz w:val="24"/>
          <w:szCs w:val="24"/>
          <w:lang w:val="en-US" w:eastAsia="zh-CN"/>
        </w:rPr>
        <w:t>（一）设计采用依据</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（1）《公路工程技术标准》（JTG B01-2014）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（2）《公路勘测规范》（JTG C10-2007）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（3）《公路路线设计规范》（JTG D20-2017）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（4）《公路路基设计规范》（JTG D30-2015）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（5）《公路水泥路面设计规范》（JTG D40-2011）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（6）《公路排水设计规范》（JTG/T D33-2012）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（7）《公路路基施工技术规范》（JTG/T3610-2019）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（8）《公路水泥混凝土路面施工技术细则》（JTG/TF30-2014）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（9）《公路路面基层施工技术细则》（JTG/T F20-2015）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（10）《公路工程施工安全技术规范》（JTG F90-2015）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（11）《小交通量农村公路工程技术标准》（JTG2111-2019）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（12）《甘肃省自然村（组）通硬化路建设技术指南》 </w:t>
      </w:r>
      <w:r>
        <w:rPr>
          <w:rFonts w:hint="eastAsia" w:ascii="宋体" w:hAnsi="宋体" w:eastAsia="宋体" w:cs="宋体"/>
          <w:sz w:val="24"/>
          <w:szCs w:val="24"/>
        </w:rPr>
        <w:t xml:space="preserve"> </w:t>
      </w:r>
      <w:bookmarkStart w:id="0" w:name="_Toc451717523"/>
      <w:bookmarkStart w:id="1" w:name="_Toc451717330"/>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（二）编制范围</w:t>
      </w:r>
      <w:bookmarkEnd w:id="0"/>
      <w:bookmarkEnd w:id="1"/>
    </w:p>
    <w:p>
      <w:pPr>
        <w:pStyle w:val="16"/>
        <w:pageBreakBefore w:val="0"/>
        <w:kinsoku/>
        <w:wordWrap/>
        <w:overflowPunct/>
        <w:topLinePunct w:val="0"/>
        <w:autoSpaceDE/>
        <w:autoSpaceDN/>
        <w:bidi w:val="0"/>
        <w:adjustRightInd/>
        <w:snapToGrid/>
        <w:spacing w:line="560" w:lineRule="exact"/>
        <w:ind w:left="0" w:leftChars="0" w:firstLine="560"/>
        <w:jc w:val="left"/>
        <w:textAlignment w:val="auto"/>
        <w:rPr>
          <w:rFonts w:hint="eastAsia" w:ascii="宋体" w:hAnsi="宋体" w:eastAsia="宋体" w:cs="宋体"/>
          <w:sz w:val="24"/>
          <w:szCs w:val="24"/>
        </w:rPr>
      </w:pPr>
      <w:r>
        <w:rPr>
          <w:rFonts w:hint="eastAsia" w:ascii="宋体" w:hAnsi="宋体" w:eastAsia="宋体" w:cs="宋体"/>
          <w:sz w:val="24"/>
          <w:szCs w:val="24"/>
        </w:rPr>
        <w:t>根据项目的工作原则和</w:t>
      </w:r>
      <w:r>
        <w:rPr>
          <w:rFonts w:hint="eastAsia" w:ascii="宋体" w:hAnsi="宋体" w:eastAsia="宋体" w:cs="宋体"/>
          <w:sz w:val="24"/>
          <w:szCs w:val="24"/>
          <w:lang w:eastAsia="zh-CN"/>
        </w:rPr>
        <w:t>项目区</w:t>
      </w:r>
      <w:r>
        <w:rPr>
          <w:rFonts w:hint="eastAsia" w:ascii="宋体" w:hAnsi="宋体" w:eastAsia="宋体" w:cs="宋体"/>
          <w:sz w:val="24"/>
          <w:szCs w:val="24"/>
        </w:rPr>
        <w:t>分布现状，本次实施方案的编制范围如下：</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（1）调查道路</w:t>
      </w:r>
      <w:r>
        <w:rPr>
          <w:rFonts w:hint="eastAsia" w:ascii="宋体" w:hAnsi="宋体" w:eastAsia="宋体" w:cs="宋体"/>
          <w:sz w:val="24"/>
          <w:szCs w:val="24"/>
          <w:lang w:eastAsia="zh-CN"/>
        </w:rPr>
        <w:t>分布</w:t>
      </w:r>
      <w:r>
        <w:rPr>
          <w:rFonts w:hint="eastAsia" w:ascii="宋体" w:hAnsi="宋体" w:eastAsia="宋体" w:cs="宋体"/>
          <w:sz w:val="24"/>
          <w:szCs w:val="24"/>
        </w:rPr>
        <w:t>范围、</w:t>
      </w:r>
      <w:r>
        <w:rPr>
          <w:rFonts w:hint="eastAsia" w:ascii="宋体" w:hAnsi="宋体" w:eastAsia="宋体" w:cs="宋体"/>
          <w:kern w:val="0"/>
          <w:sz w:val="24"/>
          <w:szCs w:val="24"/>
        </w:rPr>
        <w:t>技术标准、路面结构类型、施工工艺</w:t>
      </w:r>
      <w:r>
        <w:rPr>
          <w:rFonts w:hint="eastAsia" w:ascii="宋体" w:hAnsi="宋体" w:eastAsia="宋体" w:cs="宋体"/>
          <w:sz w:val="24"/>
          <w:szCs w:val="24"/>
        </w:rPr>
        <w:t>；提出</w:t>
      </w:r>
      <w:r>
        <w:rPr>
          <w:rFonts w:hint="eastAsia" w:ascii="宋体" w:hAnsi="宋体" w:eastAsia="宋体" w:cs="宋体"/>
          <w:sz w:val="24"/>
          <w:szCs w:val="24"/>
          <w:lang w:eastAsia="zh-CN"/>
        </w:rPr>
        <w:t>工程建设</w:t>
      </w:r>
      <w:r>
        <w:rPr>
          <w:rFonts w:hint="eastAsia" w:ascii="宋体" w:hAnsi="宋体" w:eastAsia="宋体" w:cs="宋体"/>
          <w:sz w:val="24"/>
          <w:szCs w:val="24"/>
        </w:rPr>
        <w:t>的必要性和重要性；</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（2）有针对性的提出</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措施，从而确定本次项目的工程内容及规模；</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（3）进行技术和经济比较，在此基础上提出工程建设的合理方案；</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（4）项目投资预算、资金筹措计划以及项目的建设进度安排；</w:t>
      </w:r>
    </w:p>
    <w:p>
      <w:pPr>
        <w:pStyle w:val="16"/>
        <w:pageBreakBefore w:val="0"/>
        <w:kinsoku/>
        <w:wordWrap/>
        <w:overflowPunct/>
        <w:topLinePunct w:val="0"/>
        <w:autoSpaceDE/>
        <w:autoSpaceDN/>
        <w:bidi w:val="0"/>
        <w:adjustRightInd/>
        <w:snapToGrid/>
        <w:spacing w:line="560" w:lineRule="exact"/>
        <w:ind w:left="0" w:leftChars="0" w:firstLine="5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（5）分析项目社会、环境以及经济效益。</w:t>
      </w:r>
    </w:p>
    <w:p>
      <w:pPr>
        <w:pStyle w:val="6"/>
        <w:pageBreakBefore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sz w:val="24"/>
          <w:szCs w:val="24"/>
          <w:lang w:eastAsia="zh-CN"/>
        </w:rPr>
      </w:pPr>
      <w:r>
        <w:rPr>
          <w:rFonts w:hint="eastAsia" w:ascii="宋体" w:hAnsi="宋体" w:eastAsia="宋体" w:cs="宋体"/>
          <w:b/>
          <w:bCs w:val="0"/>
          <w:color w:val="auto"/>
          <w:kern w:val="2"/>
          <w:sz w:val="24"/>
          <w:szCs w:val="24"/>
          <w:lang w:val="en-US" w:eastAsia="zh-CN" w:bidi="ar-SA"/>
        </w:rPr>
        <w:t>（三）道路建</w:t>
      </w:r>
      <w:r>
        <w:rPr>
          <w:rFonts w:hint="eastAsia" w:asciiTheme="minorEastAsia" w:hAnsiTheme="minorEastAsia" w:eastAsiaTheme="minorEastAsia" w:cstheme="minorEastAsia"/>
          <w:b/>
          <w:sz w:val="24"/>
          <w:szCs w:val="24"/>
          <w:lang w:eastAsia="zh-CN"/>
        </w:rPr>
        <w:t>设（分为通村水泥路、通组路、产业路、进户路）</w:t>
      </w:r>
    </w:p>
    <w:p>
      <w:pPr>
        <w:pStyle w:val="17"/>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（1）通村、通组路采用《小交通量农村公路工程技术标准》（JTG 2111-2019）进行设计，主要技术标准：公路等级为四级公路（I类）或四级公路（II类）；设计时速为15km/h；平曲线最小半径15m；最大纵坡14%；路基宽度4.5m-6.5m。路面结构采用18cm厚水泥混凝土面层+16cm（5%）水泥稳定砂砾基层+10cm天然砂砾层。</w:t>
      </w:r>
    </w:p>
    <w:p>
      <w:pPr>
        <w:pStyle w:val="17"/>
        <w:spacing w:before="0" w:after="0"/>
        <w:ind w:firstLine="480" w:firstLineChars="200"/>
        <w:rPr>
          <w:rFonts w:hint="eastAsia" w:ascii="宋体" w:hAnsi="宋体" w:eastAsia="宋体" w:cs="宋体"/>
          <w:b w:val="0"/>
          <w:kern w:val="0"/>
          <w:sz w:val="24"/>
          <w:szCs w:val="24"/>
          <w:lang w:val="en-US" w:eastAsia="zh-CN" w:bidi="ar-SA"/>
        </w:rPr>
      </w:pPr>
    </w:p>
    <w:p>
      <w:pPr>
        <w:pStyle w:val="17"/>
        <w:spacing w:before="0" w:after="0"/>
        <w:ind w:firstLine="602" w:firstLineChars="200"/>
        <w:rPr>
          <w:rFonts w:hint="eastAsia" w:ascii="宋体" w:hAnsi="宋体" w:eastAsia="宋体" w:cs="宋体"/>
          <w:b w:val="0"/>
          <w:kern w:val="0"/>
          <w:sz w:val="24"/>
          <w:szCs w:val="24"/>
          <w:lang w:val="en-US" w:eastAsia="zh-CN" w:bidi="ar-SA"/>
        </w:rPr>
      </w:pPr>
      <w:r>
        <w:drawing>
          <wp:anchor distT="0" distB="0" distL="114300" distR="114300" simplePos="0" relativeHeight="251660288" behindDoc="0" locked="0" layoutInCell="1" allowOverlap="1">
            <wp:simplePos x="0" y="0"/>
            <wp:positionH relativeFrom="column">
              <wp:posOffset>-294005</wp:posOffset>
            </wp:positionH>
            <wp:positionV relativeFrom="paragraph">
              <wp:posOffset>204470</wp:posOffset>
            </wp:positionV>
            <wp:extent cx="5626735" cy="2637155"/>
            <wp:effectExtent l="0" t="0" r="12065" b="14605"/>
            <wp:wrapSquare wrapText="bothSides"/>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7"/>
                    <a:stretch>
                      <a:fillRect/>
                    </a:stretch>
                  </pic:blipFill>
                  <pic:spPr>
                    <a:xfrm>
                      <a:off x="0" y="0"/>
                      <a:ext cx="5626735" cy="2637155"/>
                    </a:xfrm>
                    <a:prstGeom prst="rect">
                      <a:avLst/>
                    </a:prstGeom>
                    <a:noFill/>
                    <a:ln>
                      <a:noFill/>
                    </a:ln>
                  </pic:spPr>
                </pic:pic>
              </a:graphicData>
            </a:graphic>
          </wp:anchor>
        </w:drawing>
      </w:r>
    </w:p>
    <w:p>
      <w:pPr>
        <w:pStyle w:val="17"/>
        <w:spacing w:before="0" w:after="0"/>
        <w:ind w:firstLine="480" w:firstLineChars="200"/>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进户路采用《甘肃省自然村（组）通硬化路建设技术指南》进行设计，主要技术标准：公路等级为村内主干道；主干道设计时速为10km/h，入户路对设计时速不做要求；平曲线最小半径10m；最大纵坡14%；路基宽度≥3.5m。路面结构采用15cm厚水泥混凝土面+16cm（10%）水泥稳定土基层。</w:t>
      </w:r>
    </w:p>
    <w:p>
      <w:pPr>
        <w:pStyle w:val="17"/>
        <w:spacing w:before="0" w:after="0"/>
        <w:rPr>
          <w:rFonts w:hint="eastAsia" w:asciiTheme="minorEastAsia" w:hAnsiTheme="minorEastAsia" w:eastAsiaTheme="minorEastAsia" w:cstheme="minorEastAsia"/>
          <w:b w:val="0"/>
          <w:kern w:val="2"/>
          <w:sz w:val="24"/>
          <w:szCs w:val="24"/>
          <w:lang w:val="en-US" w:eastAsia="zh-CN"/>
        </w:rPr>
      </w:pPr>
      <w:r>
        <w:rPr>
          <w:rFonts w:hint="eastAsia"/>
          <w:lang w:val="en-US" w:eastAsia="zh-CN"/>
        </w:rPr>
        <w:t xml:space="preserve"> </w:t>
      </w:r>
    </w:p>
    <w:p>
      <w:pPr>
        <w:pStyle w:val="17"/>
        <w:spacing w:before="0" w:after="0"/>
      </w:pPr>
      <w:r>
        <w:drawing>
          <wp:inline distT="0" distB="0" distL="114300" distR="114300">
            <wp:extent cx="5275580" cy="2191385"/>
            <wp:effectExtent l="0" t="0" r="1270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5580" cy="2191385"/>
                    </a:xfrm>
                    <a:prstGeom prst="rect">
                      <a:avLst/>
                    </a:prstGeom>
                    <a:noFill/>
                    <a:ln>
                      <a:noFill/>
                    </a:ln>
                  </pic:spPr>
                </pic:pic>
              </a:graphicData>
            </a:graphic>
          </wp:inline>
        </w:drawing>
      </w:r>
    </w:p>
    <w:p>
      <w:pPr>
        <w:pStyle w:val="3"/>
      </w:pPr>
    </w:p>
    <w:p>
      <w:pPr>
        <w:pStyle w:val="17"/>
        <w:numPr>
          <w:ilvl w:val="0"/>
          <w:numId w:val="1"/>
        </w:numPr>
        <w:spacing w:before="0" w:after="0"/>
        <w:ind w:left="600" w:leftChars="0" w:firstLine="0" w:firstLineChars="0"/>
        <w:rPr>
          <w:rFonts w:hint="eastAsia" w:asciiTheme="minorEastAsia" w:hAnsiTheme="minorEastAsia" w:eastAsiaTheme="minorEastAsia" w:cstheme="minorEastAsia"/>
          <w:b w:val="0"/>
          <w:kern w:val="2"/>
          <w:sz w:val="24"/>
          <w:szCs w:val="24"/>
          <w:lang w:val="en-US" w:eastAsia="zh-CN"/>
        </w:rPr>
      </w:pPr>
      <w:r>
        <w:rPr>
          <w:rFonts w:hint="eastAsia" w:asciiTheme="minorEastAsia" w:hAnsiTheme="minorEastAsia" w:eastAsiaTheme="minorEastAsia" w:cstheme="minorEastAsia"/>
          <w:b w:val="0"/>
          <w:kern w:val="2"/>
          <w:sz w:val="24"/>
          <w:szCs w:val="24"/>
          <w:lang w:val="en-US" w:eastAsia="zh-CN"/>
        </w:rPr>
        <w:t>排水渠建设</w:t>
      </w:r>
    </w:p>
    <w:p>
      <w:pPr>
        <w:pStyle w:val="17"/>
        <w:spacing w:before="0" w:after="0"/>
        <w:ind w:firstLine="480" w:firstLineChars="200"/>
        <w:rPr>
          <w:rFonts w:hint="eastAsia" w:asciiTheme="minorEastAsia" w:hAnsiTheme="minorEastAsia" w:eastAsiaTheme="minorEastAsia" w:cstheme="minorEastAsia"/>
          <w:b w:val="0"/>
          <w:kern w:val="2"/>
          <w:sz w:val="24"/>
          <w:szCs w:val="24"/>
          <w:lang w:val="en-US" w:eastAsia="zh-CN"/>
        </w:rPr>
      </w:pPr>
      <w:r>
        <w:rPr>
          <w:rFonts w:hint="eastAsia" w:asciiTheme="minorEastAsia" w:hAnsiTheme="minorEastAsia" w:eastAsiaTheme="minorEastAsia" w:cstheme="minorEastAsia"/>
          <w:b w:val="0"/>
          <w:kern w:val="2"/>
          <w:sz w:val="24"/>
          <w:szCs w:val="24"/>
          <w:lang w:val="en-US" w:eastAsia="zh-CN"/>
        </w:rPr>
        <w:t xml:space="preserve">根据《公路排水设计规范》（JTG/T D33-2012）的要求，排水渠采用C20砼现浇梯形边沟，壁厚8cm，顶宽1.2m、底宽0.4m、高0.4m，内坡比为1:1.5、外坡比为1:0.5。 </w:t>
      </w:r>
    </w:p>
    <w:p>
      <w:pPr>
        <w:pStyle w:val="2"/>
        <w:ind w:left="0" w:leftChars="0" w:firstLine="0" w:firstLineChars="0"/>
      </w:pPr>
      <w:r>
        <w:drawing>
          <wp:inline distT="0" distB="0" distL="114300" distR="114300">
            <wp:extent cx="5188585" cy="269240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7450" t="7336" r="6331" b="10588"/>
                    <a:stretch>
                      <a:fillRect/>
                    </a:stretch>
                  </pic:blipFill>
                  <pic:spPr>
                    <a:xfrm>
                      <a:off x="0" y="0"/>
                      <a:ext cx="5188585" cy="269240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（4）庭院硬化</w:t>
      </w:r>
    </w:p>
    <w:p>
      <w:pPr>
        <w:pStyle w:val="17"/>
        <w:keepNext w:val="0"/>
        <w:keepLines w:val="0"/>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Theme="minorEastAsia" w:hAnsiTheme="minorEastAsia" w:eastAsiaTheme="minorEastAsia" w:cstheme="minorEastAsia"/>
          <w:b w:val="0"/>
          <w:kern w:val="2"/>
          <w:sz w:val="24"/>
          <w:szCs w:val="24"/>
          <w:lang w:val="en-US" w:eastAsia="zh-CN"/>
        </w:rPr>
      </w:pPr>
      <w:r>
        <w:rPr>
          <w:rFonts w:hint="eastAsia" w:asciiTheme="minorEastAsia" w:hAnsiTheme="minorEastAsia" w:eastAsiaTheme="minorEastAsia" w:cstheme="minorEastAsia"/>
          <w:b w:val="0"/>
          <w:kern w:val="2"/>
          <w:sz w:val="24"/>
          <w:szCs w:val="24"/>
          <w:lang w:val="en-US" w:eastAsia="zh-CN"/>
        </w:rPr>
        <w:t>根据《甘肃省自然村（组）通硬化路建设技术指南》对农户庭院进行无死角硬化，主要技术标准：平整度允许偏差10mm、标高允许偏差±10mm、厚度在个别地方不大于设计厚度的1/10。结构层采用12cm水泥混凝土+16cm（10%）石灰稳定土基层。</w:t>
      </w:r>
    </w:p>
    <w:p>
      <w:pPr>
        <w:pStyle w:val="17"/>
        <w:keepNext w:val="0"/>
        <w:keepLines w:val="0"/>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Theme="minorEastAsia" w:hAnsiTheme="minorEastAsia" w:eastAsiaTheme="minorEastAsia" w:cstheme="minorEastAsia"/>
          <w:b w:val="0"/>
          <w:kern w:val="2"/>
          <w:sz w:val="24"/>
          <w:szCs w:val="24"/>
          <w:lang w:val="en-US" w:eastAsia="zh-CN"/>
        </w:rPr>
      </w:pPr>
    </w:p>
    <w:p>
      <w:pPr>
        <w:pStyle w:val="17"/>
        <w:keepNext w:val="0"/>
        <w:keepLines w:val="0"/>
        <w:pageBreakBefore w:val="0"/>
        <w:kinsoku/>
        <w:wordWrap/>
        <w:overflowPunct/>
        <w:topLinePunct w:val="0"/>
        <w:autoSpaceDE/>
        <w:autoSpaceDN/>
        <w:bidi w:val="0"/>
        <w:adjustRightInd/>
        <w:snapToGrid/>
        <w:spacing w:before="0" w:after="0" w:line="560" w:lineRule="exact"/>
        <w:ind w:firstLine="602" w:firstLineChars="200"/>
        <w:jc w:val="center"/>
        <w:textAlignment w:val="auto"/>
        <w:rPr>
          <w:rFonts w:hint="eastAsia" w:asciiTheme="minorEastAsia" w:hAnsiTheme="minorEastAsia" w:eastAsiaTheme="minorEastAsia" w:cstheme="minorEastAsia"/>
          <w:b w:val="0"/>
          <w:kern w:val="2"/>
          <w:sz w:val="24"/>
          <w:szCs w:val="24"/>
          <w:lang w:val="en-US" w:eastAsia="zh-CN"/>
        </w:rPr>
      </w:pPr>
      <w:r>
        <w:drawing>
          <wp:anchor distT="0" distB="0" distL="114300" distR="114300" simplePos="0" relativeHeight="251659264" behindDoc="0" locked="0" layoutInCell="1" allowOverlap="1">
            <wp:simplePos x="0" y="0"/>
            <wp:positionH relativeFrom="column">
              <wp:posOffset>382270</wp:posOffset>
            </wp:positionH>
            <wp:positionV relativeFrom="paragraph">
              <wp:posOffset>151765</wp:posOffset>
            </wp:positionV>
            <wp:extent cx="4549140" cy="2277110"/>
            <wp:effectExtent l="0" t="0" r="7620" b="8890"/>
            <wp:wrapSquare wrapText="bothSides"/>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0"/>
                    <a:srcRect l="13811" t="10973"/>
                    <a:stretch>
                      <a:fillRect/>
                    </a:stretch>
                  </pic:blipFill>
                  <pic:spPr>
                    <a:xfrm>
                      <a:off x="0" y="0"/>
                      <a:ext cx="4549140" cy="2277110"/>
                    </a:xfrm>
                    <a:prstGeom prst="rect">
                      <a:avLst/>
                    </a:prstGeom>
                    <a:noFill/>
                    <a:ln>
                      <a:noFill/>
                    </a:ln>
                  </pic:spPr>
                </pic:pic>
              </a:graphicData>
            </a:graphic>
          </wp:anchor>
        </w:drawing>
      </w:r>
    </w:p>
    <w:p>
      <w:pPr>
        <w:pStyle w:val="17"/>
        <w:keepNext w:val="0"/>
        <w:keepLines w:val="0"/>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Theme="minorEastAsia" w:hAnsiTheme="minorEastAsia" w:eastAsiaTheme="minorEastAsia" w:cstheme="minorEastAsia"/>
          <w:b w:val="0"/>
          <w:kern w:val="2"/>
          <w:sz w:val="24"/>
          <w:szCs w:val="24"/>
          <w:lang w:val="en-US" w:eastAsia="zh-CN"/>
        </w:rPr>
      </w:pPr>
    </w:p>
    <w:p>
      <w:pPr>
        <w:pStyle w:val="17"/>
        <w:keepNext w:val="0"/>
        <w:keepLines w:val="0"/>
        <w:pageBreakBefore w:val="0"/>
        <w:kinsoku/>
        <w:wordWrap/>
        <w:overflowPunct/>
        <w:topLinePunct w:val="0"/>
        <w:autoSpaceDE/>
        <w:autoSpaceDN/>
        <w:bidi w:val="0"/>
        <w:adjustRightInd/>
        <w:snapToGrid/>
        <w:spacing w:before="0" w:after="0" w:line="560" w:lineRule="exact"/>
        <w:ind w:firstLine="602" w:firstLineChars="200"/>
        <w:textAlignment w:val="auto"/>
        <w:rPr>
          <w:rFonts w:hint="eastAsia"/>
          <w:lang w:val="en-US" w:eastAsia="zh-CN"/>
        </w:rPr>
      </w:pPr>
      <w:r>
        <w:rPr>
          <w:rFonts w:hint="eastAsia"/>
          <w:lang w:val="en-US" w:eastAsia="zh-CN"/>
        </w:rPr>
        <w:t xml:space="preserve">  </w:t>
      </w: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17"/>
        <w:spacing w:before="0" w:after="0"/>
        <w:rPr>
          <w:rFonts w:hint="eastAsia" w:asciiTheme="minorEastAsia" w:hAnsiTheme="minorEastAsia" w:eastAsiaTheme="minorEastAsia" w:cstheme="minorEastAsia"/>
          <w:b w:val="0"/>
          <w:kern w:val="2"/>
          <w:sz w:val="24"/>
          <w:szCs w:val="24"/>
          <w:lang w:val="en-US" w:eastAsia="zh-CN"/>
        </w:rPr>
      </w:pPr>
    </w:p>
    <w:p>
      <w:pPr>
        <w:pStyle w:val="17"/>
        <w:spacing w:before="0" w:after="0"/>
        <w:ind w:firstLine="480" w:firstLineChars="200"/>
        <w:rPr>
          <w:rFonts w:hint="eastAsia" w:asciiTheme="minorEastAsia" w:hAnsiTheme="minorEastAsia" w:eastAsiaTheme="minorEastAsia" w:cstheme="minorEastAsia"/>
          <w:b w:val="0"/>
          <w:kern w:val="2"/>
          <w:sz w:val="24"/>
          <w:szCs w:val="24"/>
          <w:lang w:val="en-US" w:eastAsia="zh-CN"/>
        </w:rPr>
      </w:pPr>
      <w:r>
        <w:rPr>
          <w:rFonts w:hint="eastAsia" w:asciiTheme="minorEastAsia" w:hAnsiTheme="minorEastAsia" w:eastAsiaTheme="minorEastAsia" w:cstheme="minorEastAsia"/>
          <w:b w:val="0"/>
          <w:kern w:val="2"/>
          <w:sz w:val="24"/>
          <w:szCs w:val="24"/>
          <w:lang w:val="en-US" w:eastAsia="zh-CN"/>
        </w:rPr>
        <w:t>(5)防护治理</w:t>
      </w:r>
    </w:p>
    <w:p>
      <w:pPr>
        <w:pStyle w:val="17"/>
        <w:spacing w:before="0" w:after="0"/>
        <w:ind w:firstLine="480" w:firstLineChars="200"/>
        <w:rPr>
          <w:rFonts w:hint="default" w:asciiTheme="minorEastAsia" w:hAnsiTheme="minorEastAsia" w:eastAsiaTheme="minorEastAsia" w:cstheme="minorEastAsia"/>
          <w:b w:val="0"/>
          <w:kern w:val="2"/>
          <w:sz w:val="24"/>
          <w:szCs w:val="24"/>
          <w:lang w:val="en-US" w:eastAsia="zh-CN"/>
        </w:rPr>
      </w:pPr>
      <w:r>
        <w:rPr>
          <w:rFonts w:hint="eastAsia" w:asciiTheme="minorEastAsia" w:hAnsiTheme="minorEastAsia" w:eastAsiaTheme="minorEastAsia" w:cstheme="minorEastAsia"/>
          <w:b w:val="0"/>
          <w:kern w:val="2"/>
          <w:sz w:val="24"/>
          <w:szCs w:val="24"/>
          <w:lang w:val="en-US" w:eastAsia="zh-CN"/>
        </w:rPr>
        <w:t xml:space="preserve">根据《护坡与挡墙设计规范》的要求，对佛堂村临崖户进行防护治理，护坡采用20cm现浇混凝土，垫层采用10cm厚砂砾垫层。 </w:t>
      </w:r>
    </w:p>
    <w:p>
      <w:pPr>
        <w:pStyle w:val="17"/>
        <w:spacing w:before="0" w:after="0"/>
        <w:jc w:val="center"/>
        <w:rPr>
          <w:rFonts w:hint="eastAsia" w:ascii="宋体" w:hAnsi="宋体" w:eastAsia="宋体" w:cs="宋体"/>
          <w:b/>
          <w:kern w:val="2"/>
          <w:sz w:val="24"/>
          <w:szCs w:val="24"/>
          <w:u w:val="single"/>
          <w:lang w:val="en-US" w:eastAsia="zh-CN" w:bidi="ar-SA"/>
        </w:rPr>
      </w:pPr>
      <w:r>
        <w:rPr>
          <w:rFonts w:hint="eastAsia" w:ascii="宋体" w:hAnsi="宋体" w:eastAsia="宋体" w:cs="宋体"/>
          <w:b/>
          <w:kern w:val="2"/>
          <w:sz w:val="24"/>
          <w:szCs w:val="24"/>
          <w:u w:val="single"/>
          <w:lang w:val="en-US" w:eastAsia="zh-CN" w:bidi="ar-SA"/>
        </w:rPr>
        <w:t>护    坡</w:t>
      </w:r>
    </w:p>
    <w:p>
      <w:pPr>
        <w:pStyle w:val="17"/>
        <w:spacing w:before="0" w:after="0"/>
        <w:rPr>
          <w:rFonts w:hint="eastAsia" w:ascii="宋体" w:hAnsi="宋体" w:eastAsia="宋体" w:cs="宋体"/>
          <w:b/>
          <w:kern w:val="2"/>
          <w:sz w:val="24"/>
          <w:szCs w:val="24"/>
          <w:lang w:val="en-US" w:eastAsia="zh-CN" w:bidi="ar-SA"/>
        </w:rPr>
      </w:pPr>
    </w:p>
    <w:p>
      <w:pPr>
        <w:pStyle w:val="17"/>
        <w:spacing w:before="0" w:after="0"/>
      </w:pPr>
      <w:r>
        <w:drawing>
          <wp:inline distT="0" distB="0" distL="114300" distR="114300">
            <wp:extent cx="4975860" cy="3945890"/>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975860" cy="3945890"/>
                    </a:xfrm>
                    <a:prstGeom prst="rect">
                      <a:avLst/>
                    </a:prstGeom>
                    <a:noFill/>
                    <a:ln>
                      <a:noFill/>
                    </a:ln>
                  </pic:spPr>
                </pic:pic>
              </a:graphicData>
            </a:graphic>
          </wp:inline>
        </w:drawing>
      </w:r>
    </w:p>
    <w:p>
      <w:pPr>
        <w:pStyle w:val="17"/>
        <w:spacing w:before="0" w:after="0"/>
        <w:ind w:firstLine="3373" w:firstLineChars="1400"/>
        <w:rPr>
          <w:rFonts w:hint="eastAsia" w:ascii="宋体" w:hAnsi="宋体" w:eastAsia="宋体" w:cs="宋体"/>
          <w:b/>
          <w:kern w:val="2"/>
          <w:sz w:val="24"/>
          <w:szCs w:val="24"/>
          <w:u w:val="single"/>
          <w:lang w:val="en-US" w:eastAsia="zh-CN" w:bidi="ar-SA"/>
        </w:rPr>
      </w:pPr>
      <w:r>
        <w:rPr>
          <w:rFonts w:hint="eastAsia" w:ascii="宋体" w:hAnsi="宋体" w:eastAsia="宋体" w:cs="宋体"/>
          <w:b/>
          <w:kern w:val="2"/>
          <w:sz w:val="24"/>
          <w:szCs w:val="24"/>
          <w:u w:val="single"/>
          <w:lang w:val="en-US" w:eastAsia="zh-CN" w:bidi="ar-SA"/>
        </w:rPr>
        <w:t>护  坡</w:t>
      </w:r>
    </w:p>
    <w:p>
      <w:pPr>
        <w:pStyle w:val="17"/>
        <w:pageBreakBefore w:val="0"/>
        <w:kinsoku/>
        <w:wordWrap/>
        <w:overflowPunct/>
        <w:topLinePunct w:val="0"/>
        <w:autoSpaceDE/>
        <w:autoSpaceDN/>
        <w:bidi w:val="0"/>
        <w:spacing w:before="0" w:after="0" w:line="560" w:lineRule="exact"/>
        <w:textAlignment w:val="auto"/>
        <w:rPr>
          <w:rFonts w:hint="eastAsia" w:ascii="宋体" w:hAnsi="宋体" w:eastAsia="宋体" w:cs="宋体"/>
          <w:b/>
          <w:kern w:val="2"/>
          <w:sz w:val="24"/>
          <w:szCs w:val="24"/>
          <w:lang w:val="en-US" w:eastAsia="zh-CN" w:bidi="ar-SA"/>
        </w:rPr>
      </w:pPr>
    </w:p>
    <w:p>
      <w:pPr>
        <w:pStyle w:val="17"/>
        <w:pageBreakBefore w:val="0"/>
        <w:kinsoku/>
        <w:wordWrap/>
        <w:overflowPunct/>
        <w:topLinePunct w:val="0"/>
        <w:autoSpaceDE/>
        <w:autoSpaceDN/>
        <w:bidi w:val="0"/>
        <w:spacing w:before="0" w:after="0" w:line="560" w:lineRule="exact"/>
        <w:ind w:firstLine="482" w:firstLineChars="200"/>
        <w:textAlignment w:val="auto"/>
        <w:rPr>
          <w:rFonts w:hint="eastAsia" w:ascii="宋体" w:hAnsi="宋体" w:eastAsia="宋体" w:cs="宋体"/>
          <w:b/>
          <w:kern w:val="2"/>
          <w:sz w:val="24"/>
          <w:szCs w:val="24"/>
          <w:lang w:val="en-US" w:eastAsia="zh-CN" w:bidi="ar-SA"/>
        </w:rPr>
      </w:pPr>
      <w:bookmarkStart w:id="6" w:name="_GoBack"/>
      <w:bookmarkEnd w:id="6"/>
      <w:r>
        <w:rPr>
          <w:rFonts w:hint="eastAsia" w:ascii="宋体" w:hAnsi="宋体" w:eastAsia="宋体" w:cs="宋体"/>
          <w:b/>
          <w:kern w:val="2"/>
          <w:sz w:val="24"/>
          <w:szCs w:val="24"/>
          <w:lang w:val="en-US" w:eastAsia="zh-CN" w:bidi="ar-SA"/>
        </w:rPr>
        <w:t>（四）建设条件</w:t>
      </w:r>
    </w:p>
    <w:p>
      <w:pPr>
        <w:pStyle w:val="6"/>
        <w:pageBreakBefore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材料供应</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项目所在区域筑路材料比较充足，但并不满足养护工程的需要，本次整治工程所有路用材料的标准应满足甘肃公路对路用材料的要求及规范要求。</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1、中（粗）砂：在陕西武功料场购买使用，储量丰富、质量好、强度高、料场交通便利；</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2、砾石：在陕西铜川购买使用，储量丰富、质量好、强度高、料场交通便利；</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3、碎石：在陕西铜川购买，储量丰富、质量好、强度高、料场交通便利；</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4、水泥：可在平凉购买使用，质量好，运输方便；</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5、钢材等外购材料：可在西峰购买使用，质量好，运输方便；</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6、石油沥青：可在兰州河口购买，质量好，运输方便；</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7、水：在沿线供本工程使用。</w:t>
      </w:r>
    </w:p>
    <w:p>
      <w:pPr>
        <w:pageBreakBefore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（2）交通条件</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项目所在地区交通较发达，可以借助附近的国道以及县乡公路，材料运输可以顺利到场，其中主要以公路运输为主。</w:t>
      </w:r>
      <w:bookmarkStart w:id="2" w:name="_Toc451717576"/>
      <w:bookmarkStart w:id="3" w:name="_Toc451717383"/>
      <w:bookmarkStart w:id="4" w:name="_Toc488771490"/>
      <w:bookmarkStart w:id="5" w:name="_Toc451717047"/>
    </w:p>
    <w:p>
      <w:pPr>
        <w:pageBreakBefore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（五）安全及文明施工</w:t>
      </w:r>
    </w:p>
    <w:bookmarkEnd w:id="2"/>
    <w:bookmarkEnd w:id="3"/>
    <w:bookmarkEnd w:id="4"/>
    <w:bookmarkEnd w:id="5"/>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为了保障施工质量，在施工过程中应遵循以下步骤：</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（1）预先做好施工准备工作，包括材料来源的考察，根据施工工艺要求进行材料性能试验，确定可靠的料源；</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进行临时交通组织设计，确定合理的交通分流方案，对施工车道进行封闭，满足相应的施工机械设备进场要求，同时满足地方车辆的通行要求；本次整治工程中原则上需通过合理的交通组织保持道路通行，采用诱导分流、单车道封闭、半幅封闭等交通组织方式，即路面病害处治阶段采用单车道封闭为主，诱导分流为辅的方式；罩面阶段则采用半幅单向封闭施工为主，诱导分流为辅的方式，即在施工时车辆分段单幅双向行驶，其路段长度以2km为宜，可结合交通情况作适当调整。</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为将行车对施工的影响程度降低到最小，整治工程中可以应尽量对沿线车辆进行诱导分流，过境车辆可以通过国道等公路绕行，以缓解封闭交通带来的交通组织问题。</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施工过程中，为最大限度地减少行车不安全因素，应设置专门的部门进行交通管理和分流，加强沿线警告标志牌、标语、诱导标志的管理与巡视。</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（3）对原路面进行检测，按照设计资料有关病害处理的方法，对原路病害进行细致调查，采取相应的处理措施，确定工作段落；</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（4）进行路面施工；</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（5）全线开放交通。</w:t>
      </w:r>
    </w:p>
    <w:p>
      <w:pPr>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二、蓄水池、闸阀井、PE管道和卫生厕所技术标准</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（一）设计采用依据：</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(1)《村镇供水工程技术规范》</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《埋地硬聚氯乙烯给水管道工程技术规程》</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《室外给水工程设计规范》</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(4)《给水排水工程构筑物设计规范》</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000000"/>
          <w:sz w:val="24"/>
          <w:szCs w:val="24"/>
          <w:lang w:val="en-US" w:eastAsia="zh-CN"/>
        </w:rPr>
        <w:t>(5)</w:t>
      </w:r>
      <w:r>
        <w:rPr>
          <w:rFonts w:hint="eastAsia" w:asciiTheme="minorEastAsia" w:hAnsiTheme="minorEastAsia" w:eastAsiaTheme="minorEastAsia" w:cstheme="minorEastAsia"/>
          <w:bCs/>
          <w:color w:val="000000"/>
          <w:sz w:val="24"/>
          <w:szCs w:val="24"/>
        </w:rPr>
        <w:t>《混凝土结构设计规范》</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000000"/>
          <w:sz w:val="24"/>
          <w:szCs w:val="24"/>
          <w:lang w:val="en-US" w:eastAsia="zh-CN"/>
        </w:rPr>
        <w:t>(6)</w:t>
      </w:r>
      <w:r>
        <w:rPr>
          <w:rFonts w:hint="eastAsia" w:asciiTheme="minorEastAsia" w:hAnsiTheme="minorEastAsia" w:eastAsiaTheme="minorEastAsia" w:cstheme="minorEastAsia"/>
          <w:bCs/>
          <w:color w:val="000000"/>
          <w:sz w:val="24"/>
          <w:szCs w:val="24"/>
        </w:rPr>
        <w:t>《砌体结构设计规范》</w:t>
      </w:r>
    </w:p>
    <w:p>
      <w:pPr>
        <w:pStyle w:val="12"/>
        <w:keepNext w:val="0"/>
        <w:keepLines w:val="0"/>
        <w:pageBreakBefore w:val="0"/>
        <w:widowControl w:val="0"/>
        <w:numPr>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color w:val="auto"/>
          <w:sz w:val="24"/>
          <w:szCs w:val="24"/>
          <w:lang w:val="en-US" w:eastAsia="zh-CN"/>
        </w:rPr>
        <w:t>(7)《建筑地基处理技术规范》</w:t>
      </w:r>
    </w:p>
    <w:p>
      <w:pPr>
        <w:pStyle w:val="12"/>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480" w:firstLineChars="200"/>
        <w:jc w:val="left"/>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《地下工程防水技术规范》</w:t>
      </w:r>
    </w:p>
    <w:p>
      <w:pPr>
        <w:pStyle w:val="12"/>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（二）分项技术标准</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bCs w:val="0"/>
          <w:color w:val="auto"/>
          <w:sz w:val="24"/>
          <w:szCs w:val="24"/>
          <w:lang w:val="en-US" w:eastAsia="zh-CN"/>
        </w:rPr>
        <w:t>1、PE管道</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输水管采用</w:t>
      </w:r>
      <w:r>
        <w:rPr>
          <w:rFonts w:hint="eastAsia" w:asciiTheme="minorEastAsia" w:hAnsiTheme="minorEastAsia" w:eastAsiaTheme="minorEastAsia" w:cstheme="minorEastAsia"/>
          <w:bCs/>
          <w:color w:val="auto"/>
          <w:sz w:val="24"/>
          <w:szCs w:val="24"/>
          <w:lang w:val="en-US" w:eastAsia="zh-CN"/>
        </w:rPr>
        <w:t>100级PE</w:t>
      </w:r>
      <w:r>
        <w:rPr>
          <w:rFonts w:hint="eastAsia" w:asciiTheme="minorEastAsia" w:hAnsiTheme="minorEastAsia" w:eastAsiaTheme="minorEastAsia" w:cstheme="minorEastAsia"/>
          <w:bCs/>
          <w:color w:val="auto"/>
          <w:sz w:val="24"/>
          <w:szCs w:val="24"/>
        </w:rPr>
        <w:t>管；管道穿越沟渠道路管道采用钢筋砼套管保护。</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闸阀井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阀门井</w:t>
      </w:r>
      <w:r>
        <w:rPr>
          <w:rFonts w:hint="eastAsia" w:asciiTheme="minorEastAsia" w:hAnsiTheme="minorEastAsia" w:eastAsiaTheme="minorEastAsia" w:cstheme="minorEastAsia"/>
          <w:color w:val="auto"/>
          <w:sz w:val="24"/>
          <w:szCs w:val="24"/>
        </w:rPr>
        <w:t>为圆形砌砖结构，</w:t>
      </w:r>
      <w:r>
        <w:rPr>
          <w:rFonts w:hint="eastAsia" w:asciiTheme="minorEastAsia" w:hAnsiTheme="minorEastAsia" w:eastAsiaTheme="minorEastAsia" w:cstheme="minorEastAsia"/>
          <w:bCs/>
          <w:color w:val="auto"/>
          <w:sz w:val="24"/>
          <w:szCs w:val="24"/>
        </w:rPr>
        <w:t>闸阀井采用M7.5水泥砂浆砌机砖圆井，井口安装钢筋混凝土井盖，基础原土翻夯处理后进行0.</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m厚10%水泥土处理。</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val="0"/>
          <w:kern w:val="0"/>
          <w:sz w:val="24"/>
          <w:szCs w:val="24"/>
          <w:lang w:val="en-US" w:eastAsia="zh-CN"/>
        </w:rPr>
        <w:t>3、</w:t>
      </w:r>
      <w:r>
        <w:rPr>
          <w:rFonts w:hint="eastAsia" w:asciiTheme="minorEastAsia" w:hAnsiTheme="minorEastAsia" w:eastAsiaTheme="minorEastAsia" w:cstheme="minorEastAsia"/>
          <w:b/>
          <w:bCs w:val="0"/>
          <w:kern w:val="0"/>
          <w:sz w:val="24"/>
          <w:szCs w:val="24"/>
          <w:lang w:eastAsia="zh-CN"/>
        </w:rPr>
        <w:t>蓄水池</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水池结构型式采用现浇钢筋混凝土带盖圆形水池</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水池池顶、池壁及池底均采用C25钢筋砼现浇，水泥标号不低于32.5R，池壁内外面均做防渗处理，防渗标准达到S6，基础采用C15素砼现浇，平面开挖范围为水池基础出外皮各向外1.5m，基础下夯实3:7灰土垫层，其下原土翻夯，3：7灰土压实后压实系数必须达到0.95，素土压实后压实系数不小于0.93。</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
          <w:bCs w:val="0"/>
          <w:kern w:val="0"/>
          <w:sz w:val="24"/>
          <w:szCs w:val="24"/>
          <w:lang w:val="en-US" w:eastAsia="zh-CN"/>
        </w:rPr>
        <w:t>4、配电房：</w:t>
      </w:r>
      <w:r>
        <w:rPr>
          <w:rFonts w:hint="eastAsia" w:asciiTheme="minorEastAsia" w:hAnsiTheme="minorEastAsia" w:eastAsiaTheme="minorEastAsia" w:cstheme="minorEastAsia"/>
          <w:bCs/>
          <w:kern w:val="0"/>
          <w:sz w:val="24"/>
          <w:szCs w:val="24"/>
          <w:lang w:val="en-US" w:eastAsia="zh-CN"/>
        </w:rPr>
        <w:t>本次工程设计配电房、管理房均为砖混结构，屋顶为平顶屋面，门窗为钢门钢窗，并加设￠10圆钢防盗珊条。地基为素土夯填，三七灰土夯填，基础采用M7.5砂浆砌砖，上为底圈梁，基础埋深为室外地下，墙体内外采用1:3水泥砂浆抹面，用于防水，回填压实后压实系数不小于0.93。</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val="0"/>
          <w:kern w:val="0"/>
          <w:sz w:val="24"/>
          <w:szCs w:val="24"/>
          <w:lang w:val="en-US" w:eastAsia="zh-CN"/>
        </w:rPr>
        <w:t>5、小电井</w:t>
      </w:r>
      <w:r>
        <w:rPr>
          <w:rFonts w:hint="eastAsia" w:asciiTheme="minorEastAsia" w:hAnsiTheme="minorEastAsia" w:eastAsiaTheme="minorEastAsia" w:cstheme="minorEastAsia"/>
          <w:bCs/>
          <w:kern w:val="0"/>
          <w:sz w:val="24"/>
          <w:szCs w:val="24"/>
          <w:lang w:val="en-US" w:eastAsia="zh-CN"/>
        </w:rPr>
        <w:t>：</w:t>
      </w:r>
      <w:r>
        <w:rPr>
          <w:rFonts w:hint="eastAsia" w:asciiTheme="minorEastAsia" w:hAnsiTheme="minorEastAsia" w:eastAsiaTheme="minorEastAsia" w:cstheme="minorEastAsia"/>
          <w:color w:val="auto"/>
          <w:sz w:val="24"/>
          <w:szCs w:val="24"/>
          <w:lang w:val="en-US" w:eastAsia="zh-CN"/>
        </w:rPr>
        <w:t>小电井井筒为圆柱形，直径0.2m，井内安装DN160PVC护壁管（各个井在施工时根据井的地质情况确定护壁管长度，确保护壁管伸入岩层1米）。</w:t>
      </w:r>
      <w:r>
        <w:rPr>
          <w:rFonts w:hint="eastAsia" w:asciiTheme="minorEastAsia" w:hAnsiTheme="minorEastAsia" w:eastAsiaTheme="minorEastAsia" w:cstheme="minorEastAsia"/>
          <w:color w:val="auto"/>
          <w:sz w:val="24"/>
          <w:szCs w:val="24"/>
        </w:rPr>
        <w:t>井口处管道埋深40cm，管道底坡1%向井端倾斜。</w:t>
      </w:r>
      <w:r>
        <w:rPr>
          <w:rFonts w:hint="eastAsia" w:asciiTheme="minorEastAsia" w:hAnsiTheme="minorEastAsia" w:eastAsiaTheme="minorEastAsia" w:cstheme="minorEastAsia"/>
          <w:color w:val="auto"/>
          <w:sz w:val="24"/>
          <w:szCs w:val="24"/>
          <w:lang w:val="en-US" w:eastAsia="zh-CN"/>
        </w:rPr>
        <w:t>井口设井圈和井盖，井内安装潜水电泵，配套DN32上水塑管、电缆线、钢丝绳等。</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
          <w:bCs w:val="0"/>
          <w:kern w:val="0"/>
          <w:sz w:val="24"/>
          <w:szCs w:val="24"/>
          <w:lang w:val="en-US" w:eastAsia="zh-CN" w:bidi="ar-SA"/>
        </w:rPr>
        <w:t>6、卫生厕所：</w:t>
      </w:r>
      <w:r>
        <w:rPr>
          <w:rFonts w:hint="eastAsia" w:asciiTheme="minorEastAsia" w:hAnsiTheme="minorEastAsia" w:eastAsiaTheme="minorEastAsia" w:cstheme="minorEastAsia"/>
          <w:bCs/>
          <w:kern w:val="0"/>
          <w:sz w:val="24"/>
          <w:szCs w:val="24"/>
          <w:lang w:val="en-US" w:eastAsia="zh-CN" w:bidi="ar-SA"/>
        </w:rPr>
        <w:t>建设水冲式厕所，采取1.5立方滚塑一体三格式化粪池、坐便器或蹲便器、电动冲水系统。</w:t>
      </w:r>
    </w:p>
    <w:p>
      <w:pPr>
        <w:pStyle w:val="12"/>
        <w:keepNext w:val="0"/>
        <w:keepLines w:val="0"/>
        <w:pageBreakBefore w:val="0"/>
        <w:widowControl w:val="0"/>
        <w:kinsoku/>
        <w:wordWrap/>
        <w:overflowPunct/>
        <w:topLinePunct w:val="0"/>
        <w:autoSpaceDE/>
        <w:autoSpaceDN/>
        <w:bidi w:val="0"/>
        <w:adjustRightInd/>
        <w:spacing w:line="560" w:lineRule="exact"/>
        <w:ind w:right="0" w:rightChars="0" w:firstLine="482" w:firstLineChars="200"/>
        <w:jc w:val="left"/>
        <w:textAlignment w:val="auto"/>
        <w:rPr>
          <w:rFonts w:hint="eastAsia" w:asciiTheme="minorEastAsia" w:hAnsiTheme="minorEastAsia" w:eastAsiaTheme="minorEastAsia" w:cstheme="minorEastAsia"/>
          <w:bCs/>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（1）厕屋。</w:t>
      </w:r>
      <w:r>
        <w:rPr>
          <w:rFonts w:hint="eastAsia" w:asciiTheme="minorEastAsia" w:hAnsiTheme="minorEastAsia" w:eastAsiaTheme="minorEastAsia" w:cstheme="minorEastAsia"/>
          <w:bCs/>
          <w:kern w:val="0"/>
          <w:sz w:val="24"/>
          <w:szCs w:val="24"/>
          <w:lang w:val="en-US" w:eastAsia="zh-CN" w:bidi="ar-SA"/>
        </w:rPr>
        <w:t>必须入院，厕屋要结构完整有墙有顶有门有窗，保温措施到位，地面平整，墙体稳固，墙面清洁，可贴磁砖或节能墙体材料，安装照明。</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Cs/>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（2）厕具。</w:t>
      </w:r>
      <w:r>
        <w:rPr>
          <w:rFonts w:hint="eastAsia" w:asciiTheme="minorEastAsia" w:hAnsiTheme="minorEastAsia" w:eastAsiaTheme="minorEastAsia" w:cstheme="minorEastAsia"/>
          <w:bCs/>
          <w:kern w:val="0"/>
          <w:sz w:val="24"/>
          <w:szCs w:val="24"/>
          <w:lang w:val="en-US" w:eastAsia="zh-CN" w:bidi="ar-SA"/>
        </w:rPr>
        <w:t>有管网的，选用标准水冲式坐便器；使用化粪池的，选用节水型廓口直通式坐便器，有硅胶防臭器等防臭措施，有电动冲水系统（深埋储水桶，连接水泵），或使用专用高压水枪冲洗。便器、洁具、连接管材与管件质量合格，表面光滑，易于清洁，不易破损。安装平正、牢固、无渗漏。</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楷体_GB2312" w:hAnsi="楷体_GB2312" w:eastAsia="楷体_GB2312" w:cs="楷体_GB2312"/>
          <w:b/>
          <w:bCs w:val="0"/>
          <w:kern w:val="0"/>
          <w:sz w:val="24"/>
          <w:szCs w:val="24"/>
          <w:lang w:val="en-US" w:eastAsia="zh-CN" w:bidi="ar-SA"/>
        </w:rPr>
        <w:sectPr>
          <w:headerReference r:id="rId3" w:type="default"/>
          <w:footerReference r:id="rId4" w:type="default"/>
          <w:pgSz w:w="11906" w:h="16838"/>
          <w:pgMar w:top="1440" w:right="1800" w:bottom="1440" w:left="1800" w:header="851" w:footer="992" w:gutter="0"/>
          <w:pgNumType w:fmt="numberInDash" w:start="36"/>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Cs/>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（3）地下部分。</w:t>
      </w:r>
      <w:r>
        <w:rPr>
          <w:rFonts w:hint="eastAsia" w:asciiTheme="minorEastAsia" w:hAnsiTheme="minorEastAsia" w:eastAsiaTheme="minorEastAsia" w:cstheme="minorEastAsia"/>
          <w:bCs/>
          <w:kern w:val="0"/>
          <w:sz w:val="24"/>
          <w:szCs w:val="24"/>
          <w:lang w:val="en-US" w:eastAsia="zh-CN" w:bidi="ar-SA"/>
        </w:rPr>
        <w:t>使用1.5立方滚塑一体三格式化粪池，化粪池基坑深度2—2.2米，池底夯实后作15-20公分混凝土垫层或10公分的粗沙基础。化粪池在入坑前要进行气密性试验合格（在第一格注入三分之二的水观察24小时后不流入第二格为合格）后方可入坑，入坑后应注入三分之一水使之稳定后回填（池坑不得带水回填，回填应密实；回填土不得含有砖块、碎石、冻土块等；每30—50公分回填一层；回填时，化粪池、卫生洁具、管道等应无损伤、沉降、位移；原状地基不得扰动、受水浸泡或受冻）。做好便器和进粪管防冻措施（独立式厕所采取直通式，进粪管内径110mm，靠近地面管道使用保温棉包裹；粪便直接进入化粪池或进粪口与过粪管前端垂直并延伸一段，再用45度弯头连管穿墙入池）。安装化粪池排臭管（在化粪池保温管上部加装110mm排气管串通排臭气，地上部分应贴墙而上，高于屋顶50—80公分，排气管上安装防护罩或弯头）。最后进行地面硬化（化粪池坑回填完毕，地面恢复平整并硬化，清掏维护口上平面应高于地坪10公分，防止雨水倒灌，加水泥盖保护）。</w:t>
      </w: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pStyle w:val="2"/>
        <w:rPr>
          <w:rFonts w:hint="eastAsia" w:ascii="仿宋_GB2312" w:hAnsi="仿宋" w:eastAsia="仿宋_GB2312"/>
          <w:sz w:val="32"/>
          <w:szCs w:val="32"/>
          <w:u w:val="single"/>
        </w:rPr>
      </w:pPr>
    </w:p>
    <w:p>
      <w:pPr>
        <w:pStyle w:val="3"/>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pStyle w:val="2"/>
        <w:rPr>
          <w:rFonts w:hint="eastAsia" w:ascii="仿宋_GB2312" w:hAnsi="仿宋" w:eastAsia="仿宋_GB2312"/>
          <w:sz w:val="32"/>
          <w:szCs w:val="32"/>
          <w:u w:val="single"/>
        </w:rPr>
      </w:pPr>
    </w:p>
    <w:p>
      <w:pPr>
        <w:pStyle w:val="3"/>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pStyle w:val="2"/>
        <w:rPr>
          <w:rFonts w:hint="eastAsia" w:ascii="仿宋_GB2312" w:hAnsi="仿宋" w:eastAsia="仿宋_GB2312"/>
          <w:sz w:val="32"/>
          <w:szCs w:val="32"/>
          <w:u w:val="single"/>
        </w:rPr>
      </w:pPr>
    </w:p>
    <w:p>
      <w:pPr>
        <w:pStyle w:val="3"/>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pStyle w:val="2"/>
        <w:rPr>
          <w:rFonts w:hint="eastAsia" w:ascii="仿宋_GB2312" w:hAnsi="仿宋" w:eastAsia="仿宋_GB2312"/>
          <w:sz w:val="32"/>
          <w:szCs w:val="32"/>
          <w:u w:val="single"/>
        </w:rPr>
      </w:pPr>
    </w:p>
    <w:p>
      <w:pPr>
        <w:pStyle w:val="3"/>
        <w:rPr>
          <w:rFonts w:hint="eastAsia" w:ascii="仿宋_GB2312" w:hAnsi="仿宋" w:eastAsia="仿宋_GB2312"/>
          <w:sz w:val="32"/>
          <w:szCs w:val="32"/>
          <w:u w:val="single"/>
        </w:rPr>
      </w:pPr>
    </w:p>
    <w:p>
      <w:pPr>
        <w:rPr>
          <w:rFonts w:hint="eastAsia" w:ascii="仿宋_GB2312" w:hAnsi="仿宋" w:eastAsia="仿宋_GB2312"/>
          <w:sz w:val="32"/>
          <w:szCs w:val="32"/>
          <w:u w:val="single"/>
        </w:rPr>
      </w:pPr>
    </w:p>
    <w:p>
      <w:pPr>
        <w:pStyle w:val="2"/>
        <w:rPr>
          <w:rFonts w:hint="eastAsia" w:ascii="仿宋_GB2312" w:hAnsi="仿宋" w:eastAsia="仿宋_GB2312"/>
          <w:sz w:val="32"/>
          <w:szCs w:val="32"/>
          <w:u w:val="single"/>
        </w:rPr>
      </w:pPr>
    </w:p>
    <w:p>
      <w:pPr>
        <w:pStyle w:val="3"/>
        <w:rPr>
          <w:rFonts w:hint="eastAsia"/>
        </w:rPr>
      </w:pPr>
    </w:p>
    <w:p>
      <w:pPr>
        <w:pStyle w:val="3"/>
        <w:rPr>
          <w:rFonts w:hint="eastAsia" w:ascii="仿宋_GB2312" w:hAnsi="仿宋" w:eastAsia="仿宋_GB2312"/>
          <w:sz w:val="32"/>
          <w:szCs w:val="32"/>
          <w:u w:val="single"/>
        </w:rPr>
      </w:pPr>
    </w:p>
    <w:p>
      <w:pPr>
        <w:rPr>
          <w:rFonts w:hint="eastAsia"/>
        </w:rPr>
      </w:pPr>
    </w:p>
    <w:p>
      <w:pPr>
        <w:rPr>
          <w:rFonts w:ascii="仿宋_GB2312" w:hAnsi="仿宋" w:eastAsia="仿宋_GB2312"/>
          <w:sz w:val="28"/>
          <w:szCs w:val="28"/>
          <w:u w:val="single"/>
        </w:rPr>
      </w:pP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中共正宁县委农村工作</w:t>
      </w:r>
      <w:r>
        <w:rPr>
          <w:rFonts w:hint="eastAsia" w:ascii="仿宋_GB2312" w:hAnsi="仿宋" w:eastAsia="仿宋_GB2312"/>
          <w:sz w:val="28"/>
          <w:szCs w:val="28"/>
          <w:u w:val="single"/>
        </w:rPr>
        <w:t>领导小组</w:t>
      </w:r>
      <w:r>
        <w:rPr>
          <w:rFonts w:hint="eastAsia" w:ascii="仿宋_GB2312" w:hAnsi="仿宋" w:eastAsia="仿宋_GB2312"/>
          <w:sz w:val="28"/>
          <w:szCs w:val="28"/>
          <w:u w:val="single"/>
          <w:lang w:eastAsia="zh-CN"/>
        </w:rPr>
        <w:t>办公室</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lang w:eastAsia="zh-CN"/>
        </w:rPr>
        <w:t>2021</w:t>
      </w:r>
      <w:r>
        <w:rPr>
          <w:rFonts w:hint="eastAsia" w:ascii="仿宋_GB2312" w:hAnsi="仿宋" w:eastAsia="仿宋_GB2312"/>
          <w:sz w:val="28"/>
          <w:szCs w:val="28"/>
          <w:u w:val="single"/>
        </w:rPr>
        <w:t>年</w:t>
      </w:r>
      <w:r>
        <w:rPr>
          <w:rFonts w:hint="eastAsia" w:ascii="仿宋_GB2312" w:hAnsi="仿宋" w:eastAsia="仿宋_GB2312"/>
          <w:sz w:val="28"/>
          <w:szCs w:val="28"/>
          <w:u w:val="single"/>
          <w:lang w:val="en-US" w:eastAsia="zh-CN"/>
        </w:rPr>
        <w:t>9</w:t>
      </w:r>
      <w:r>
        <w:rPr>
          <w:rFonts w:hint="eastAsia" w:ascii="仿宋_GB2312" w:hAnsi="仿宋" w:eastAsia="仿宋_GB2312"/>
          <w:sz w:val="28"/>
          <w:szCs w:val="28"/>
          <w:u w:val="single"/>
        </w:rPr>
        <w:t>月</w:t>
      </w:r>
      <w:r>
        <w:rPr>
          <w:rFonts w:hint="eastAsia" w:ascii="仿宋_GB2312" w:hAnsi="仿宋" w:eastAsia="仿宋_GB2312"/>
          <w:sz w:val="28"/>
          <w:szCs w:val="28"/>
          <w:u w:val="single"/>
          <w:lang w:val="en-US" w:eastAsia="zh-CN"/>
        </w:rPr>
        <w:t>10</w:t>
      </w:r>
      <w:r>
        <w:rPr>
          <w:rFonts w:hint="eastAsia" w:ascii="仿宋_GB2312" w:hAnsi="仿宋" w:eastAsia="仿宋_GB2312"/>
          <w:sz w:val="28"/>
          <w:szCs w:val="28"/>
          <w:u w:val="single"/>
        </w:rPr>
        <w:t>日</w:t>
      </w:r>
      <w:r>
        <w:rPr>
          <w:rFonts w:hint="eastAsia" w:ascii="仿宋_GB2312" w:hAnsi="仿宋" w:eastAsia="仿宋_GB2312"/>
          <w:sz w:val="28"/>
          <w:szCs w:val="28"/>
          <w:u w:val="single"/>
          <w:lang w:eastAsia="zh-CN"/>
        </w:rPr>
        <w:t>印发</w:t>
      </w:r>
      <w:r>
        <w:rPr>
          <w:rFonts w:hint="eastAsia" w:ascii="仿宋_GB2312" w:hAnsi="仿宋" w:eastAsia="仿宋_GB2312"/>
          <w:sz w:val="28"/>
          <w:szCs w:val="28"/>
          <w:u w:val="single"/>
          <w:lang w:val="en-US" w:eastAsia="zh-CN"/>
        </w:rPr>
        <w:t xml:space="preserve">  </w:t>
      </w:r>
    </w:p>
    <w:p>
      <w:pPr>
        <w:rPr>
          <w:rFonts w:hint="eastAsia" w:eastAsia="仿宋_GB2312"/>
          <w:sz w:val="28"/>
          <w:szCs w:val="28"/>
          <w:lang w:eastAsia="zh-CN"/>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共印</w:t>
      </w:r>
      <w:r>
        <w:rPr>
          <w:rFonts w:hint="eastAsia" w:ascii="仿宋_GB2312" w:hAnsi="仿宋" w:eastAsia="仿宋_GB2312"/>
          <w:sz w:val="28"/>
          <w:szCs w:val="28"/>
          <w:lang w:val="en-US" w:eastAsia="zh-CN"/>
        </w:rPr>
        <w:t>3</w:t>
      </w:r>
      <w:r>
        <w:rPr>
          <w:rFonts w:hint="eastAsia" w:ascii="仿宋_GB2312" w:hAnsi="仿宋" w:eastAsia="仿宋_GB2312"/>
          <w:sz w:val="28"/>
          <w:szCs w:val="28"/>
        </w:rPr>
        <w:t>0份</w:t>
      </w:r>
      <w:r>
        <w:rPr>
          <w:rFonts w:hint="eastAsia" w:ascii="仿宋_GB2312" w:hAnsi="仿宋" w:eastAsia="仿宋_GB2312"/>
          <w:sz w:val="28"/>
          <w:szCs w:val="28"/>
          <w:lang w:eastAsia="zh-CN"/>
        </w:rPr>
        <w:t>）</w:t>
      </w:r>
    </w:p>
    <w:sectPr>
      <w:footerReference r:id="rId5" w:type="default"/>
      <w:pgSz w:w="11906" w:h="16838"/>
      <w:pgMar w:top="1440" w:right="1800" w:bottom="1440" w:left="1800" w:header="851" w:footer="992" w:gutter="0"/>
      <w:pgNumType w:fmt="numberInDash" w:start="4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yastro">
    <w:panose1 w:val="00000400000000000000"/>
    <w:charset w:val="00"/>
    <w:family w:val="auto"/>
    <w:pitch w:val="default"/>
    <w:sig w:usb0="00000001" w:usb1="00000000" w:usb2="00000000" w:usb3="00000000" w:csb0="000001FF" w:csb1="00000000"/>
  </w:font>
  <w:font w:name="Txt">
    <w:panose1 w:val="00000400000000000000"/>
    <w:charset w:val="00"/>
    <w:family w:val="auto"/>
    <w:pitch w:val="default"/>
    <w:sig w:usb0="80000227" w:usb1="00000000" w:usb2="00000000" w:usb3="00000000" w:csb0="000001FF" w:csb1="00000000"/>
  </w:font>
  <w:font w:name="Wingdings 2">
    <w:panose1 w:val="05020102010507070707"/>
    <w:charset w:val="00"/>
    <w:family w:val="auto"/>
    <w:pitch w:val="default"/>
    <w:sig w:usb0="00000000" w:usb1="00000000" w:usb2="00000000" w:usb3="00000000" w:csb0="80000000" w:csb1="00000000"/>
  </w:font>
  <w:font w:name="Symap">
    <w:panose1 w:val="00000400000000000000"/>
    <w:charset w:val="00"/>
    <w:family w:val="auto"/>
    <w:pitch w:val="default"/>
    <w:sig w:usb0="00000001" w:usb1="00000000" w:usb2="00000000" w:usb3="00000000" w:csb0="000001FF"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62B92"/>
    <w:multiLevelType w:val="singleLevel"/>
    <w:tmpl w:val="4CE62B92"/>
    <w:lvl w:ilvl="0" w:tentative="0">
      <w:start w:val="3"/>
      <w:numFmt w:val="decimal"/>
      <w:suff w:val="nothing"/>
      <w:lvlText w:val="（%1）"/>
      <w:lvlJc w:val="left"/>
      <w:pPr>
        <w:ind w:left="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74988"/>
    <w:rsid w:val="0EE219D6"/>
    <w:rsid w:val="12D03141"/>
    <w:rsid w:val="13991F36"/>
    <w:rsid w:val="13A63BFE"/>
    <w:rsid w:val="157E46F3"/>
    <w:rsid w:val="16422B91"/>
    <w:rsid w:val="1EE44CC1"/>
    <w:rsid w:val="218325EE"/>
    <w:rsid w:val="248569D3"/>
    <w:rsid w:val="259E1CAC"/>
    <w:rsid w:val="2F2704FB"/>
    <w:rsid w:val="32AF30DF"/>
    <w:rsid w:val="32C37F5F"/>
    <w:rsid w:val="33530FE7"/>
    <w:rsid w:val="3D897F36"/>
    <w:rsid w:val="3E5E2D40"/>
    <w:rsid w:val="3E9577F8"/>
    <w:rsid w:val="406C5D3F"/>
    <w:rsid w:val="410F4D11"/>
    <w:rsid w:val="476F2942"/>
    <w:rsid w:val="49432B9E"/>
    <w:rsid w:val="4F4C7A72"/>
    <w:rsid w:val="533518C8"/>
    <w:rsid w:val="54EE25C4"/>
    <w:rsid w:val="59110F3E"/>
    <w:rsid w:val="59A158B6"/>
    <w:rsid w:val="5A301348"/>
    <w:rsid w:val="5AC0778E"/>
    <w:rsid w:val="5D6973B8"/>
    <w:rsid w:val="603A4254"/>
    <w:rsid w:val="629263A9"/>
    <w:rsid w:val="75526918"/>
    <w:rsid w:val="77696E91"/>
    <w:rsid w:val="79443102"/>
    <w:rsid w:val="7BE94647"/>
    <w:rsid w:val="7D62145D"/>
    <w:rsid w:val="7E64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360" w:lineRule="auto"/>
      <w:outlineLvl w:val="2"/>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0"/>
    <w:pPr>
      <w:spacing w:after="120" w:line="480" w:lineRule="auto"/>
      <w:ind w:left="420" w:leftChars="200"/>
    </w:pPr>
    <w:rPr>
      <w:rFonts w:ascii="Calibri" w:hAnsi="Calibri" w:eastAsia="Times New Roman"/>
      <w:szCs w:val="22"/>
    </w:rPr>
  </w:style>
  <w:style w:type="paragraph" w:styleId="3">
    <w:name w:val="Body Text"/>
    <w:basedOn w:val="1"/>
    <w:next w:val="1"/>
    <w:qFormat/>
    <w:uiPriority w:val="0"/>
    <w:pPr>
      <w:spacing w:after="12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First Indent"/>
    <w:basedOn w:val="1"/>
    <w:unhideWhenUsed/>
    <w:qFormat/>
    <w:uiPriority w:val="99"/>
    <w:pPr>
      <w:widowControl w:val="0"/>
      <w:spacing w:beforeLines="0" w:after="120" w:afterLines="0" w:line="360" w:lineRule="auto"/>
      <w:ind w:firstLine="420" w:firstLineChars="100"/>
    </w:pPr>
    <w:rPr>
      <w:rFonts w:hint="default" w:ascii="Arial Narrow" w:hAnsi="Arial Narrow"/>
      <w:sz w:val="28"/>
      <w:lang w:val="en-US" w:eastAsia="zh-CN"/>
    </w:rPr>
  </w:style>
  <w:style w:type="paragraph" w:customStyle="1" w:styleId="1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pPr>
      <w:widowControl/>
      <w:spacing w:line="360" w:lineRule="auto"/>
      <w:ind w:firstLine="420"/>
    </w:pPr>
    <w:rPr>
      <w:rFonts w:ascii="宋体" w:hAnsi="宋体" w:cs="宋体"/>
      <w:kern w:val="0"/>
      <w:sz w:val="28"/>
      <w:szCs w:val="28"/>
    </w:rPr>
  </w:style>
  <w:style w:type="paragraph" w:customStyle="1" w:styleId="14">
    <w:name w:val="BodyTextIndent2"/>
    <w:basedOn w:val="1"/>
    <w:next w:val="15"/>
    <w:qFormat/>
    <w:uiPriority w:val="0"/>
    <w:pPr>
      <w:spacing w:line="480" w:lineRule="auto"/>
      <w:ind w:left="420" w:leftChars="200"/>
      <w:jc w:val="both"/>
      <w:textAlignment w:val="baseline"/>
    </w:pPr>
  </w:style>
  <w:style w:type="paragraph" w:customStyle="1" w:styleId="15">
    <w:name w:val="BodyText"/>
    <w:basedOn w:val="1"/>
    <w:qFormat/>
    <w:uiPriority w:val="0"/>
    <w:pPr>
      <w:spacing w:after="120"/>
      <w:jc w:val="both"/>
      <w:textAlignment w:val="baseline"/>
    </w:pPr>
  </w:style>
  <w:style w:type="paragraph" w:customStyle="1" w:styleId="16">
    <w:name w:val="List Paragraph1"/>
    <w:basedOn w:val="1"/>
    <w:qFormat/>
    <w:uiPriority w:val="0"/>
    <w:pPr>
      <w:ind w:firstLine="420" w:firstLineChars="200"/>
    </w:pPr>
    <w:rPr>
      <w:rFonts w:ascii="Calibri" w:hAnsi="Calibri"/>
      <w:szCs w:val="22"/>
    </w:rPr>
  </w:style>
  <w:style w:type="paragraph" w:customStyle="1" w:styleId="17">
    <w:name w:val="mytype1"/>
    <w:next w:val="3"/>
    <w:qFormat/>
    <w:uiPriority w:val="0"/>
    <w:pPr>
      <w:spacing w:before="60" w:after="60" w:line="360" w:lineRule="auto"/>
    </w:pPr>
    <w:rPr>
      <w:rFonts w:ascii="黑体" w:hAnsi="Times New Roman" w:eastAsia="黑体" w:cs="Times New Roman"/>
      <w:b/>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2021-08-04T01:06:00Z</dcterms:created>
  <dc:creator>Administrator</dc:creator>
  <cp:lastModifiedBy>燕子</cp:lastModifiedBy>
  <cp:lastPrinted>2021-09-12T12:16:00Z</cp:lastPrinted>
  <dcterms:modified xsi:type="dcterms:W3CDTF">2021-09-22T23:46:58Z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75191F84AD40467A965878C87A37C3F6</vt:lpwstr>
  </property>
</Properties>
</file>