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51C" w:rsidRDefault="000663C3">
      <w:pPr>
        <w:pStyle w:val="a6"/>
        <w:widowControl/>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正宁县农村不动产登记有关历史遗留</w:t>
      </w:r>
    </w:p>
    <w:p w:rsidR="002D7BDD" w:rsidRDefault="000663C3">
      <w:pPr>
        <w:pStyle w:val="a6"/>
        <w:widowControl/>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问题的处理意见</w:t>
      </w:r>
    </w:p>
    <w:p w:rsidR="002D7BDD" w:rsidRDefault="002D7BDD">
      <w:pPr>
        <w:pStyle w:val="a6"/>
        <w:widowControl/>
        <w:spacing w:line="600" w:lineRule="exact"/>
        <w:jc w:val="center"/>
        <w:rPr>
          <w:rFonts w:ascii="方正小标宋简体" w:eastAsia="方正小标宋简体" w:hAnsi="方正小标宋简体" w:cs="方正小标宋简体"/>
          <w:sz w:val="44"/>
          <w:szCs w:val="44"/>
          <w:shd w:val="clear" w:color="auto" w:fill="FFFFFF"/>
        </w:rPr>
      </w:pPr>
    </w:p>
    <w:p w:rsidR="002D7BDD" w:rsidRDefault="000663C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为了妥善解决我县农村不动产登记中</w:t>
      </w:r>
      <w:r>
        <w:rPr>
          <w:rFonts w:ascii="仿宋_GB2312" w:eastAsia="仿宋_GB2312" w:hAnsi="仿宋_GB2312" w:cs="仿宋_GB2312" w:hint="eastAsia"/>
          <w:sz w:val="32"/>
          <w:szCs w:val="32"/>
        </w:rPr>
        <w:t>遇到的</w:t>
      </w:r>
      <w:r>
        <w:rPr>
          <w:rFonts w:ascii="仿宋_GB2312" w:eastAsia="仿宋_GB2312" w:hAnsi="仿宋_GB2312" w:cs="仿宋_GB2312" w:hint="eastAsia"/>
          <w:sz w:val="32"/>
          <w:szCs w:val="32"/>
          <w:shd w:val="clear" w:color="auto" w:fill="FFFFFF"/>
        </w:rPr>
        <w:t>历史遗留问题，确保“房地一体”农村不动产确权登记工作顺利推进，切实维护群众合法权益，根据《民法典》、《土地管理法》、《不动产登记暂行条例》等法律法规，按照自然资源部《关于加快宅基地和集体建设用地使用权确权登记工作的通知》（自然资发〔2020〕84号）、</w:t>
      </w:r>
      <w:hyperlink r:id="rId8" w:tgtFrame="https://www.tuliu.com/_blank" w:history="1">
        <w:r>
          <w:rPr>
            <w:rFonts w:ascii="仿宋_GB2312" w:eastAsia="仿宋_GB2312" w:hAnsi="仿宋_GB2312" w:cs="仿宋_GB2312" w:hint="eastAsia"/>
            <w:sz w:val="32"/>
            <w:szCs w:val="32"/>
            <w:shd w:val="clear" w:color="auto" w:fill="FFFFFF"/>
          </w:rPr>
          <w:t>甘肃省</w:t>
        </w:r>
      </w:hyperlink>
      <w:r>
        <w:rPr>
          <w:rFonts w:ascii="仿宋_GB2312" w:eastAsia="仿宋_GB2312" w:hAnsi="仿宋_GB2312" w:cs="仿宋_GB2312" w:hint="eastAsia"/>
          <w:sz w:val="32"/>
          <w:szCs w:val="32"/>
          <w:shd w:val="clear" w:color="auto" w:fill="FFFFFF"/>
        </w:rPr>
        <w:t>国土资源厅《关于进一步加快农村不动产</w:t>
      </w:r>
      <w:hyperlink r:id="rId9" w:tgtFrame="https://www.tuliu.com/_blank" w:history="1">
        <w:r>
          <w:rPr>
            <w:rFonts w:ascii="仿宋_GB2312" w:eastAsia="仿宋_GB2312" w:hAnsi="仿宋_GB2312" w:cs="仿宋_GB2312" w:hint="eastAsia"/>
            <w:sz w:val="32"/>
            <w:szCs w:val="32"/>
            <w:shd w:val="clear" w:color="auto" w:fill="FFFFFF"/>
          </w:rPr>
          <w:t>确权登记</w:t>
        </w:r>
      </w:hyperlink>
      <w:r>
        <w:rPr>
          <w:rFonts w:ascii="仿宋_GB2312" w:eastAsia="仿宋_GB2312" w:hAnsi="仿宋_GB2312" w:cs="仿宋_GB2312" w:hint="eastAsia"/>
          <w:sz w:val="32"/>
          <w:szCs w:val="32"/>
          <w:shd w:val="clear" w:color="auto" w:fill="FFFFFF"/>
        </w:rPr>
        <w:t>工作的通知》（甘资登发〔2020〕40号）等文件精神，本着“尊重历史、实事求是、依法依规、维护权益、分类解决、确保实效”的原则，</w:t>
      </w:r>
      <w:r>
        <w:rPr>
          <w:rFonts w:ascii="仿宋_GB2312" w:eastAsia="仿宋_GB2312" w:hAnsi="仿宋_GB2312" w:cs="仿宋_GB2312" w:hint="eastAsia"/>
          <w:sz w:val="32"/>
          <w:szCs w:val="32"/>
        </w:rPr>
        <w:t>现提出如下处理意见。</w:t>
      </w:r>
    </w:p>
    <w:p w:rsidR="00323488" w:rsidRDefault="000663C3" w:rsidP="006D16F1">
      <w:pPr>
        <w:pStyle w:val="a"/>
        <w:numPr>
          <w:ilvl w:val="0"/>
          <w:numId w:val="0"/>
        </w:numPr>
        <w:spacing w:beforeLines="0" w:afterLines="0" w:line="600" w:lineRule="exact"/>
        <w:ind w:firstLineChars="221" w:firstLine="707"/>
        <w:rPr>
          <w:rFonts w:ascii="仿宋_GB2312" w:eastAsia="仿宋_GB2312" w:hAnsi="仿宋_GB2312" w:cs="仿宋_GB2312"/>
          <w:sz w:val="32"/>
          <w:szCs w:val="32"/>
          <w:shd w:val="clear" w:color="auto" w:fill="FFFFFF"/>
        </w:rPr>
      </w:pPr>
      <w:r>
        <w:rPr>
          <w:rFonts w:hAnsi="黑体" w:cs="黑体" w:hint="eastAsia"/>
          <w:sz w:val="32"/>
          <w:szCs w:val="32"/>
          <w:shd w:val="clear" w:color="auto" w:fill="FFFFFF"/>
        </w:rPr>
        <w:t>一、适用范围</w:t>
      </w:r>
    </w:p>
    <w:p w:rsidR="002D7BDD" w:rsidRDefault="000663C3" w:rsidP="006D16F1">
      <w:pPr>
        <w:pStyle w:val="a"/>
        <w:numPr>
          <w:ilvl w:val="0"/>
          <w:numId w:val="0"/>
        </w:numPr>
        <w:spacing w:beforeLines="0" w:afterLines="0" w:line="600" w:lineRule="exact"/>
        <w:ind w:firstLineChars="221" w:firstLine="70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本意见适用于</w:t>
      </w:r>
      <w:r>
        <w:rPr>
          <w:rFonts w:ascii="仿宋" w:eastAsia="仿宋" w:hAnsi="仿宋" w:hint="eastAsia"/>
          <w:sz w:val="32"/>
          <w:szCs w:val="32"/>
        </w:rPr>
        <w:t>农村宅基地使用权及房屋所有权登记和集体建设用地使用权及建筑物、构筑物所有权登记。</w:t>
      </w:r>
    </w:p>
    <w:p w:rsidR="006D16F1" w:rsidRDefault="000663C3" w:rsidP="006D16F1">
      <w:pPr>
        <w:pStyle w:val="a6"/>
        <w:shd w:val="clear" w:color="auto" w:fill="FFFFFF"/>
        <w:spacing w:line="600" w:lineRule="exact"/>
        <w:ind w:firstLineChars="221" w:firstLine="707"/>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w:t>
      </w:r>
      <w:bookmarkStart w:id="0" w:name="_Toc448911507"/>
      <w:bookmarkStart w:id="1" w:name="_Toc451780697"/>
      <w:r w:rsidRPr="00D2237E">
        <w:rPr>
          <w:rFonts w:ascii="黑体" w:eastAsia="黑体" w:hAnsi="黑体" w:cs="黑体" w:hint="eastAsia"/>
          <w:sz w:val="32"/>
          <w:szCs w:val="32"/>
          <w:shd w:val="clear" w:color="auto" w:fill="FFFFFF"/>
        </w:rPr>
        <w:t>农村</w:t>
      </w:r>
      <w:r>
        <w:rPr>
          <w:rFonts w:ascii="黑体" w:eastAsia="黑体" w:hAnsi="黑体" w:cs="黑体" w:hint="eastAsia"/>
          <w:sz w:val="32"/>
          <w:szCs w:val="32"/>
          <w:shd w:val="clear" w:color="auto" w:fill="FFFFFF"/>
        </w:rPr>
        <w:t>宅基地使用权及房屋所有权确权登记</w:t>
      </w:r>
      <w:bookmarkEnd w:id="0"/>
      <w:bookmarkEnd w:id="1"/>
    </w:p>
    <w:p w:rsidR="00323488" w:rsidRDefault="000663C3" w:rsidP="006D16F1">
      <w:pPr>
        <w:pStyle w:val="a6"/>
        <w:shd w:val="clear" w:color="auto" w:fill="FFFFFF"/>
        <w:spacing w:line="600" w:lineRule="exact"/>
        <w:ind w:firstLineChars="221" w:firstLine="707"/>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农村宅基地使用权及房屋所有权原则上确权登记到“户”，</w:t>
      </w:r>
      <w:r>
        <w:rPr>
          <w:rFonts w:ascii="仿宋_GB2312" w:eastAsia="仿宋_GB2312" w:cstheme="minorBidi" w:hint="eastAsia"/>
          <w:kern w:val="2"/>
          <w:sz w:val="32"/>
          <w:szCs w:val="32"/>
        </w:rPr>
        <w:t>一般由该宅基地原申请批准使用人或土地使用权证书持证人申请确权登记，</w:t>
      </w:r>
      <w:r>
        <w:rPr>
          <w:rFonts w:ascii="仿宋_GB2312" w:eastAsia="仿宋_GB2312" w:hAnsi="仿宋_GB2312" w:cs="仿宋_GB2312" w:hint="eastAsia"/>
          <w:sz w:val="32"/>
          <w:szCs w:val="32"/>
          <w:shd w:val="clear" w:color="auto" w:fill="FFFFFF"/>
        </w:rPr>
        <w:t>家庭户籍中的其他成员为本不动产共有人。“户”原则上应以公安部门户籍登记信息为基础，同时应当符合当地申请宅基地建房的条件。根据户籍登记信息无法认定的，可参考当地农村集体土地家庭土地承包中承</w:t>
      </w:r>
      <w:r>
        <w:rPr>
          <w:rFonts w:ascii="仿宋_GB2312" w:eastAsia="仿宋_GB2312" w:hAnsi="仿宋_GB2312" w:cs="仿宋_GB2312" w:hint="eastAsia"/>
          <w:sz w:val="32"/>
          <w:szCs w:val="32"/>
          <w:shd w:val="clear" w:color="auto" w:fill="FFFFFF"/>
        </w:rPr>
        <w:lastRenderedPageBreak/>
        <w:t>包集体土地的农户情况，结合村民自治方式予以认定。</w:t>
      </w:r>
    </w:p>
    <w:p w:rsidR="002D7BDD" w:rsidRDefault="000663C3" w:rsidP="00323488">
      <w:pPr>
        <w:pStyle w:val="a6"/>
        <w:shd w:val="clear" w:color="auto" w:fill="FFFFFF"/>
        <w:spacing w:line="600" w:lineRule="exact"/>
        <w:ind w:firstLineChars="221" w:firstLine="710"/>
        <w:jc w:val="both"/>
        <w:rPr>
          <w:rFonts w:ascii="仿宋_GB2312" w:eastAsia="仿宋_GB2312" w:hAnsi="仿宋_GB2312" w:cs="仿宋_GB2312"/>
          <w:sz w:val="32"/>
          <w:szCs w:val="32"/>
          <w:shd w:val="clear" w:color="auto" w:fill="FFFFFF"/>
        </w:rPr>
      </w:pPr>
      <w:r>
        <w:rPr>
          <w:rFonts w:ascii="楷体_GB2312" w:eastAsia="楷体_GB2312" w:hAnsi="楷体_GB2312" w:cs="楷体_GB2312" w:hint="eastAsia"/>
          <w:b/>
          <w:bCs/>
          <w:sz w:val="32"/>
          <w:szCs w:val="32"/>
          <w:shd w:val="clear" w:color="auto" w:fill="FFFFFF"/>
        </w:rPr>
        <w:t>（一）确权登记条件</w:t>
      </w:r>
      <w:r>
        <w:rPr>
          <w:rFonts w:ascii="仿宋_GB2312" w:eastAsia="仿宋_GB2312" w:hAnsi="仿宋_GB2312" w:cs="仿宋_GB2312" w:hint="eastAsia"/>
          <w:sz w:val="32"/>
          <w:szCs w:val="32"/>
          <w:shd w:val="clear" w:color="auto" w:fill="FFFFFF"/>
        </w:rPr>
        <w:br/>
        <w:t xml:space="preserve">　　</w:t>
      </w:r>
      <w:r>
        <w:rPr>
          <w:rFonts w:ascii="仿宋_GB2312" w:eastAsia="仿宋_GB2312" w:hAnsi="仿宋_GB2312" w:cs="仿宋_GB2312" w:hint="eastAsia"/>
          <w:b/>
          <w:bCs/>
          <w:sz w:val="32"/>
          <w:szCs w:val="32"/>
          <w:shd w:val="clear" w:color="auto" w:fill="FFFFFF"/>
        </w:rPr>
        <w:t>1、符合“一户一宅”政策。</w:t>
      </w:r>
      <w:r>
        <w:rPr>
          <w:rFonts w:ascii="仿宋_GB2312" w:eastAsia="仿宋_GB2312" w:hAnsi="仿宋_GB2312" w:cs="仿宋_GB2312" w:hint="eastAsia"/>
          <w:sz w:val="32"/>
          <w:szCs w:val="32"/>
          <w:shd w:val="clear" w:color="auto" w:fill="FFFFFF"/>
        </w:rPr>
        <w:t>“一户一宅”是指农村村民一户只能拥有一处宅基地，其宅基地的面积不得超过当地规定的标准。</w:t>
      </w:r>
    </w:p>
    <w:p w:rsidR="002D7BDD" w:rsidRDefault="000663C3">
      <w:pPr>
        <w:pStyle w:val="a8"/>
        <w:spacing w:line="600" w:lineRule="exact"/>
        <w:ind w:firstLineChars="0" w:firstLine="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b/>
          <w:bCs/>
          <w:sz w:val="32"/>
          <w:szCs w:val="32"/>
          <w:shd w:val="clear" w:color="auto" w:fill="FFFFFF"/>
        </w:rPr>
        <w:t>2、符合宅基地使用权主体资格。</w:t>
      </w:r>
      <w:r>
        <w:rPr>
          <w:rFonts w:ascii="仿宋_GB2312" w:eastAsia="仿宋_GB2312" w:hAnsi="仿宋_GB2312" w:cs="仿宋_GB2312" w:hint="eastAsia"/>
          <w:sz w:val="32"/>
          <w:szCs w:val="32"/>
          <w:shd w:val="clear" w:color="auto" w:fill="FFFFFF"/>
        </w:rPr>
        <w:t>宅基地使用权主体资格应为本农民集体经济组织成员，非本农民集体经济组织成员取得宅基地，应区分不同情形予以处理：</w:t>
      </w:r>
    </w:p>
    <w:p w:rsidR="00323488" w:rsidRDefault="000663C3">
      <w:pPr>
        <w:pStyle w:val="a8"/>
        <w:spacing w:line="600" w:lineRule="exact"/>
        <w:ind w:firstLineChars="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非本农民集体经济组织成员，因易地扶贫搬迁、地质灾害防治、新农村建设、移民安置等按照政府统一规划和批准使用宅基地的，在退出原宅基地并注销登记后，应按新建房屋所占用的宅基地使用权主体资格确权登记，须在不动产登记簿及证书附记栏注记“该权利人为非本农民集体经济组织成员”。</w:t>
      </w:r>
    </w:p>
    <w:p w:rsidR="00323488" w:rsidRDefault="000663C3">
      <w:pPr>
        <w:pStyle w:val="a8"/>
        <w:spacing w:line="600" w:lineRule="exact"/>
        <w:ind w:firstLineChars="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（2）非本农民集体经济组织成员（城镇居民），因继承房屋占用宅基地的，可按继承有关规定确权登记，须在不动产登记簿及证书附记栏注记“该权利人为本农民集体经济组织原成员住宅的合法继承人”。</w:t>
      </w:r>
    </w:p>
    <w:p w:rsidR="00323488" w:rsidRDefault="000663C3">
      <w:pPr>
        <w:pStyle w:val="a8"/>
        <w:spacing w:line="600" w:lineRule="exact"/>
        <w:ind w:firstLineChars="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1999年《国务院办公厅关于加强土地转让管理严禁炒买土地的通知》印发前，回原籍村庄、集镇落户的职工、退伍军人、离（退）休干部以及回乡定居的华侨、港澳台同胞等，原在农村合法取得的宅基地或因合法取得房屋而占用的宅基地，由该农民集体经济组织出具证明，应按宅基地使</w:t>
      </w:r>
      <w:r>
        <w:rPr>
          <w:rFonts w:ascii="仿宋_GB2312" w:eastAsia="仿宋_GB2312" w:hAnsi="仿宋_GB2312" w:cs="仿宋_GB2312" w:hint="eastAsia"/>
          <w:sz w:val="32"/>
          <w:szCs w:val="32"/>
          <w:shd w:val="clear" w:color="auto" w:fill="FFFFFF"/>
        </w:rPr>
        <w:lastRenderedPageBreak/>
        <w:t>用权主体资格确权登记，须在不动产登记簿及证书附记栏注记“该权利人为非本农民集体经济组织成员”；1999年后，城市居民违法占用宅基地建造房屋、购买农房的，不予登记。</w:t>
      </w:r>
      <w:r>
        <w:rPr>
          <w:rFonts w:ascii="仿宋_GB2312" w:eastAsia="仿宋_GB2312" w:hAnsi="仿宋_GB2312" w:cs="仿宋_GB2312" w:hint="eastAsia"/>
          <w:sz w:val="32"/>
          <w:szCs w:val="32"/>
          <w:shd w:val="clear" w:color="auto" w:fill="FFFFFF"/>
        </w:rPr>
        <w:br/>
        <w:t xml:space="preserve">　　</w:t>
      </w:r>
      <w:r>
        <w:rPr>
          <w:rFonts w:ascii="仿宋_GB2312" w:eastAsia="仿宋_GB2312" w:hAnsi="仿宋_GB2312" w:cs="仿宋_GB2312" w:hint="eastAsia"/>
          <w:b/>
          <w:bCs/>
          <w:sz w:val="32"/>
          <w:szCs w:val="32"/>
          <w:shd w:val="clear" w:color="auto" w:fill="FFFFFF"/>
        </w:rPr>
        <w:t>3、符合宅基地土地利用与规划要求。</w:t>
      </w:r>
      <w:r>
        <w:rPr>
          <w:rFonts w:ascii="仿宋_GB2312" w:eastAsia="仿宋_GB2312" w:hAnsi="仿宋_GB2312" w:cs="仿宋_GB2312" w:hint="eastAsia"/>
          <w:sz w:val="32"/>
          <w:szCs w:val="32"/>
          <w:shd w:val="clear" w:color="auto" w:fill="FFFFFF"/>
        </w:rPr>
        <w:t>农村村民建住宅，应当符合乡（镇）土地利用总体规划、村庄规划，不得占用永久基本农田，使用农用地的需要先转用后审批。</w:t>
      </w:r>
    </w:p>
    <w:p w:rsidR="002D7BDD" w:rsidRDefault="000663C3">
      <w:pPr>
        <w:pStyle w:val="a8"/>
        <w:spacing w:line="600" w:lineRule="exact"/>
        <w:ind w:firstLineChars="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合法取得但没有规划条件的宅基地上的农房，属于2008年1月1日《城乡规划法》实施前建设的，办理登记时可不提供房屋符合规划或建设的相关材料;属于《城乡规划法》实施后建设的，经村委会公告15天无异议或异议不成立的（由本村监委会查证），可不提供房屋符规划或建设的相关材料。</w:t>
      </w:r>
    </w:p>
    <w:p w:rsidR="002D7BDD" w:rsidRDefault="000663C3">
      <w:pPr>
        <w:pStyle w:val="a8"/>
        <w:spacing w:line="600" w:lineRule="exact"/>
        <w:ind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4、符合登记发证要求。</w:t>
      </w:r>
      <w:r>
        <w:rPr>
          <w:rFonts w:ascii="仿宋_GB2312" w:eastAsia="仿宋_GB2312" w:hAnsi="仿宋_GB2312" w:cs="仿宋_GB2312" w:hint="eastAsia"/>
          <w:sz w:val="32"/>
          <w:szCs w:val="32"/>
          <w:shd w:val="clear" w:color="auto" w:fill="FFFFFF"/>
        </w:rPr>
        <w:t>合法使用且已建成房屋的宅基地使用权和房屋所有权登记必须满足“权属合法、界址清楚、面积准确、无争议纠纷”的登记发证条件。</w:t>
      </w:r>
    </w:p>
    <w:p w:rsidR="002D7BDD" w:rsidRDefault="000663C3">
      <w:pPr>
        <w:pStyle w:val="a"/>
        <w:numPr>
          <w:ilvl w:val="0"/>
          <w:numId w:val="0"/>
        </w:numPr>
        <w:spacing w:beforeLines="0" w:afterLines="0" w:line="600" w:lineRule="exact"/>
        <w:rPr>
          <w:rFonts w:ascii="楷体_GB2312" w:eastAsia="楷体_GB2312" w:hAnsi="楷体_GB2312" w:cs="楷体_GB2312"/>
          <w:b/>
          <w:bCs/>
          <w:sz w:val="32"/>
          <w:szCs w:val="32"/>
          <w:shd w:val="clear" w:color="auto" w:fill="FFFFFF"/>
        </w:rPr>
      </w:pPr>
      <w:r>
        <w:rPr>
          <w:rFonts w:ascii="仿宋_GB2312" w:eastAsia="仿宋_GB2312" w:hAnsi="仿宋_GB2312" w:cs="仿宋_GB2312" w:hint="eastAsia"/>
          <w:sz w:val="32"/>
          <w:szCs w:val="32"/>
          <w:shd w:val="clear" w:color="auto" w:fill="FFFFFF"/>
        </w:rPr>
        <w:t xml:space="preserve">　　</w:t>
      </w:r>
      <w:r>
        <w:rPr>
          <w:rFonts w:ascii="楷体_GB2312" w:eastAsia="楷体_GB2312" w:hAnsi="楷体_GB2312" w:cs="楷体_GB2312" w:hint="eastAsia"/>
          <w:b/>
          <w:bCs/>
          <w:sz w:val="32"/>
          <w:szCs w:val="32"/>
          <w:shd w:val="clear" w:color="auto" w:fill="FFFFFF"/>
        </w:rPr>
        <w:t>（二）权属确认</w:t>
      </w:r>
    </w:p>
    <w:p w:rsidR="00323488" w:rsidRDefault="000663C3">
      <w:pPr>
        <w:pStyle w:val="a"/>
        <w:numPr>
          <w:ilvl w:val="0"/>
          <w:numId w:val="0"/>
        </w:numPr>
        <w:spacing w:beforeLines="0" w:afterLines="0" w:line="60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次房地一体的农村不动产登记发证工作，采取“总登记”形式。在县政府统一组织实施下，按照属地管理要求，由各乡镇人民政府负责本行政区域内房地一体权属调查工作，县自然资源局会同乡镇人民政府、各自然资源所（不动产登记所）、村委会配合实施。以尚未完成登记发证的宅基地和集体建设用地为重点，以行政村为单位集中开展调查与申请为模式，全面推进房地一体不动产确权登记发证工作。</w:t>
      </w:r>
      <w:r>
        <w:rPr>
          <w:rFonts w:ascii="仿宋_GB2312" w:eastAsia="仿宋_GB2312" w:hAnsi="仿宋_GB2312" w:cs="仿宋_GB2312" w:hint="eastAsia"/>
          <w:sz w:val="32"/>
          <w:szCs w:val="32"/>
          <w:shd w:val="clear" w:color="auto" w:fill="FFFFFF"/>
        </w:rPr>
        <w:br/>
      </w:r>
      <w:r>
        <w:rPr>
          <w:rFonts w:ascii="仿宋_GB2312" w:eastAsia="仿宋_GB2312" w:hAnsi="仿宋_GB2312" w:cs="仿宋_GB2312" w:hint="eastAsia"/>
          <w:sz w:val="32"/>
          <w:szCs w:val="32"/>
          <w:shd w:val="clear" w:color="auto" w:fill="FFFFFF"/>
        </w:rPr>
        <w:lastRenderedPageBreak/>
        <w:t xml:space="preserve">　　1、已登记发证的宅基地，遵循“不变不换”原则，但群众有换发不动产权证意愿的，可以申请换发房地一体的不动产权证书。</w:t>
      </w:r>
    </w:p>
    <w:p w:rsidR="002D7BDD" w:rsidRDefault="000663C3">
      <w:pPr>
        <w:pStyle w:val="a"/>
        <w:numPr>
          <w:ilvl w:val="0"/>
          <w:numId w:val="0"/>
        </w:numPr>
        <w:spacing w:beforeLines="0" w:afterLines="0" w:line="60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2、有合法建房用地批准权属来源证明材料（即</w:t>
      </w:r>
      <w:r>
        <w:rPr>
          <w:rFonts w:ascii="仿宋_GB2312" w:eastAsia="仿宋_GB2312" w:hint="eastAsia"/>
          <w:sz w:val="32"/>
          <w:szCs w:val="32"/>
        </w:rPr>
        <w:t>用地批复文件或耕地占用税票据</w:t>
      </w:r>
      <w:r>
        <w:rPr>
          <w:rFonts w:ascii="仿宋_GB2312" w:eastAsia="仿宋_GB2312" w:hAnsi="仿宋_GB2312" w:cs="仿宋_GB2312" w:hint="eastAsia"/>
          <w:sz w:val="32"/>
          <w:szCs w:val="32"/>
          <w:shd w:val="clear" w:color="auto" w:fill="FFFFFF"/>
        </w:rPr>
        <w:t>）未登记发证的宅基地，予以确认登记。</w:t>
      </w:r>
    </w:p>
    <w:p w:rsidR="002D7BDD" w:rsidRDefault="000663C3">
      <w:pPr>
        <w:pStyle w:val="a"/>
        <w:numPr>
          <w:ilvl w:val="0"/>
          <w:numId w:val="0"/>
        </w:numPr>
        <w:spacing w:beforeLines="0" w:afterLines="0" w:line="60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3、历史上形成由各村委会、乡镇人民政府、国土资源所按规定收取农村村民申请宅基地款额的，本着群众“无过错”原则，凭当时原始有效票据（收据），经乡镇人民政府审核，属合法使用的，不再补办用地批准手续，宅基地使用面积按照当时其批准面积标准予以确权登记。</w:t>
      </w:r>
    </w:p>
    <w:p w:rsidR="002D7BDD" w:rsidRDefault="000663C3">
      <w:pPr>
        <w:pStyle w:val="a6"/>
        <w:shd w:val="clear" w:color="auto" w:fill="FFFFFF"/>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1987年1月1日《土地管理法》实施前，无法提供宅基地权属来源证明材料的，均按现状予以确权登记。1987年1月1日《土地管理法》实施后，没有合法权属来源证明材料的宅基地，应当查明土地历史使用情况和现状，</w:t>
      </w:r>
      <w:r>
        <w:rPr>
          <w:rFonts w:ascii="仿宋_GB2312" w:eastAsia="仿宋_GB2312" w:hint="eastAsia"/>
          <w:sz w:val="32"/>
          <w:szCs w:val="32"/>
        </w:rPr>
        <w:t>由所在农民集体或村委会对宅基地使用权人、面积、四至范围等进行确认后，</w:t>
      </w:r>
      <w:r>
        <w:rPr>
          <w:rFonts w:ascii="仿宋_GB2312" w:eastAsia="仿宋_GB2312" w:hAnsi="仿宋_GB2312" w:cs="仿宋_GB2312" w:hint="eastAsia"/>
          <w:sz w:val="32"/>
          <w:szCs w:val="32"/>
          <w:shd w:val="clear" w:color="auto" w:fill="FFFFFF"/>
        </w:rPr>
        <w:t>公告15天无异议或异议不成立的（由本村监委会查证），</w:t>
      </w:r>
      <w:r>
        <w:rPr>
          <w:rFonts w:ascii="仿宋_GB2312" w:eastAsia="仿宋_GB2312" w:hint="eastAsia"/>
          <w:sz w:val="32"/>
          <w:szCs w:val="32"/>
        </w:rPr>
        <w:t>由所在农民集体经济组织或村委会在“</w:t>
      </w:r>
      <w:r>
        <w:rPr>
          <w:rFonts w:ascii="仿宋_GB2312" w:eastAsia="仿宋_GB2312" w:hAnsi="仿宋_GB2312" w:cs="仿宋_GB2312" w:hint="eastAsia"/>
          <w:sz w:val="32"/>
          <w:szCs w:val="32"/>
          <w:shd w:val="clear" w:color="auto" w:fill="FFFFFF"/>
        </w:rPr>
        <w:t>三级确认”申请审核表上签署意见</w:t>
      </w:r>
      <w:r>
        <w:rPr>
          <w:rFonts w:ascii="仿宋_GB2312" w:eastAsia="仿宋_GB2312" w:hint="eastAsia"/>
          <w:sz w:val="32"/>
          <w:szCs w:val="32"/>
        </w:rPr>
        <w:t>，经乡镇人民政府审核批准，属于合法使用的，</w:t>
      </w:r>
      <w:r>
        <w:rPr>
          <w:rFonts w:ascii="仿宋_GB2312" w:eastAsia="仿宋_GB2312" w:hAnsi="仿宋_GB2312" w:cs="仿宋_GB2312" w:hint="eastAsia"/>
          <w:sz w:val="32"/>
          <w:szCs w:val="32"/>
          <w:shd w:val="clear" w:color="auto" w:fill="FFFFFF"/>
        </w:rPr>
        <w:t>可按规定补办有关用地手续后，依据用地批准文件，予以确权登记（详见附件“三级确认”流程及表格样式）。</w:t>
      </w:r>
    </w:p>
    <w:p w:rsidR="002D7BDD" w:rsidRDefault="000663C3">
      <w:pPr>
        <w:pStyle w:val="1"/>
        <w:widowControl/>
        <w:spacing w:before="0" w:beforeAutospacing="0" w:after="0" w:afterAutospacing="0" w:line="600" w:lineRule="exact"/>
        <w:ind w:firstLine="640"/>
        <w:jc w:val="center"/>
        <w:rPr>
          <w:rFonts w:ascii="仿宋_GB2312" w:eastAsia="仿宋_GB2312" w:hAnsi="仿宋_GB2312" w:cs="仿宋_GB2312" w:hint="default"/>
          <w:b w:val="0"/>
          <w:kern w:val="0"/>
          <w:sz w:val="32"/>
          <w:szCs w:val="32"/>
          <w:shd w:val="clear" w:color="auto" w:fill="FFFFFF"/>
        </w:rPr>
      </w:pPr>
      <w:r>
        <w:rPr>
          <w:rFonts w:ascii="仿宋_GB2312" w:eastAsia="仿宋_GB2312" w:hAnsi="仿宋_GB2312" w:cs="仿宋_GB2312"/>
          <w:b w:val="0"/>
          <w:kern w:val="0"/>
          <w:sz w:val="32"/>
          <w:szCs w:val="32"/>
          <w:shd w:val="clear" w:color="auto" w:fill="FFFFFF"/>
        </w:rPr>
        <w:t>按规定补办有关用地手续，应补缴的耕地占用税的政策为：依据《中华人民共和国耕地占用税法》第七条、《</w:t>
      </w:r>
      <w:r>
        <w:rPr>
          <w:rFonts w:ascii="仿宋_GB2312" w:eastAsia="仿宋_GB2312" w:hAnsi="仿宋_GB2312" w:cs="仿宋_GB2312" w:hint="default"/>
          <w:b w:val="0"/>
          <w:kern w:val="0"/>
          <w:sz w:val="32"/>
          <w:szCs w:val="32"/>
          <w:shd w:val="clear" w:color="auto" w:fill="FFFFFF"/>
        </w:rPr>
        <w:t>甘肃</w:t>
      </w:r>
    </w:p>
    <w:p w:rsidR="002D7BDD" w:rsidRDefault="000663C3">
      <w:pPr>
        <w:pStyle w:val="1"/>
        <w:widowControl/>
        <w:spacing w:before="0" w:beforeAutospacing="0" w:after="0" w:afterAutospacing="0" w:line="600" w:lineRule="exact"/>
        <w:jc w:val="both"/>
        <w:rPr>
          <w:rFonts w:ascii="仿宋_GB2312" w:eastAsia="仿宋_GB2312" w:hAnsi="仿宋_GB2312" w:cs="仿宋_GB2312" w:hint="default"/>
          <w:b w:val="0"/>
          <w:kern w:val="0"/>
          <w:sz w:val="32"/>
          <w:szCs w:val="32"/>
          <w:shd w:val="clear" w:color="auto" w:fill="FFFFFF"/>
        </w:rPr>
      </w:pPr>
      <w:r>
        <w:rPr>
          <w:rFonts w:ascii="仿宋_GB2312" w:eastAsia="仿宋_GB2312" w:hAnsi="仿宋_GB2312" w:cs="仿宋_GB2312" w:hint="default"/>
          <w:b w:val="0"/>
          <w:kern w:val="0"/>
          <w:sz w:val="32"/>
          <w:szCs w:val="32"/>
          <w:shd w:val="clear" w:color="auto" w:fill="FFFFFF"/>
        </w:rPr>
        <w:lastRenderedPageBreak/>
        <w:t>省人民代表大会常务委员会关于甘肃省耕地占用税具体适用税额的决定</w:t>
      </w:r>
      <w:r>
        <w:rPr>
          <w:rFonts w:ascii="仿宋_GB2312" w:eastAsia="仿宋_GB2312" w:hAnsi="仿宋_GB2312" w:cs="仿宋_GB2312"/>
          <w:b w:val="0"/>
          <w:kern w:val="0"/>
          <w:sz w:val="32"/>
          <w:szCs w:val="32"/>
          <w:shd w:val="clear" w:color="auto" w:fill="FFFFFF"/>
        </w:rPr>
        <w:t>》和《</w:t>
      </w:r>
      <w:r>
        <w:rPr>
          <w:rFonts w:ascii="仿宋_GB2312" w:eastAsia="仿宋_GB2312" w:hAnsi="仿宋_GB2312" w:cs="仿宋_GB2312" w:hint="default"/>
          <w:b w:val="0"/>
          <w:kern w:val="0"/>
          <w:sz w:val="32"/>
          <w:szCs w:val="32"/>
          <w:shd w:val="clear" w:color="auto" w:fill="FFFFFF"/>
        </w:rPr>
        <w:t>甘肃省财政厅国家税务总局甘肃省税务局关于进一步实施小微企业“六税两费”减免政策的公告</w:t>
      </w:r>
      <w:r>
        <w:rPr>
          <w:rFonts w:ascii="仿宋_GB2312" w:eastAsia="仿宋_GB2312" w:hAnsi="仿宋_GB2312" w:cs="仿宋_GB2312"/>
          <w:b w:val="0"/>
          <w:kern w:val="0"/>
          <w:sz w:val="32"/>
          <w:szCs w:val="32"/>
          <w:shd w:val="clear" w:color="auto" w:fill="FFFFFF"/>
        </w:rPr>
        <w:t>》</w:t>
      </w:r>
    </w:p>
    <w:p w:rsidR="002D7BDD" w:rsidRDefault="000663C3">
      <w:pPr>
        <w:pStyle w:val="1"/>
        <w:widowControl/>
        <w:spacing w:before="0" w:beforeAutospacing="0" w:after="0" w:afterAutospacing="0" w:line="600" w:lineRule="exact"/>
        <w:jc w:val="both"/>
        <w:rPr>
          <w:rFonts w:ascii="仿宋_GB2312" w:eastAsia="仿宋_GB2312" w:hAnsi="仿宋_GB2312" w:cs="仿宋_GB2312" w:hint="default"/>
          <w:sz w:val="32"/>
          <w:szCs w:val="32"/>
          <w:shd w:val="clear" w:color="auto" w:fill="FFFFFF"/>
        </w:rPr>
      </w:pPr>
      <w:r>
        <w:rPr>
          <w:rFonts w:ascii="仿宋_GB2312" w:eastAsia="仿宋_GB2312" w:hAnsi="仿宋_GB2312" w:cs="仿宋_GB2312"/>
          <w:b w:val="0"/>
          <w:kern w:val="0"/>
          <w:sz w:val="32"/>
          <w:szCs w:val="32"/>
          <w:shd w:val="clear" w:color="auto" w:fill="FFFFFF"/>
        </w:rPr>
        <w:t>等规定执行（具体缴纳标准以县税务部门核定的结果为准）。</w:t>
      </w:r>
    </w:p>
    <w:p w:rsidR="002D7BDD" w:rsidRDefault="000663C3">
      <w:pPr>
        <w:pStyle w:val="a"/>
        <w:numPr>
          <w:ilvl w:val="0"/>
          <w:numId w:val="0"/>
        </w:numPr>
        <w:spacing w:beforeLines="0" w:afterLines="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经宅基地所有权人同意，农民集体经济组织内部向符合宅基地申请条件的农户转让（买卖）、赠与、互换宅基地上房屋，导致宅基地使用权和房屋所有权发生转移的，经“三级确认”后，可依法予以确权登记。依据《不动产登记暂行条例实施细则》第四十二条规定，应当提交原宅基地使用权证书或者其他权属来源材料、集体内部转让（买卖）、赠与、互换协议等材料办理登记。</w:t>
      </w:r>
    </w:p>
    <w:p w:rsidR="002D7BDD" w:rsidRDefault="000663C3">
      <w:pPr>
        <w:pStyle w:val="a8"/>
        <w:spacing w:line="60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宅基地原批准使用权人死亡，若“户”中还有其他成员，可由现在的户主申请登记。若“户”中已没有其他成员，按照《继承法》规定，宅基地上房屋可由继承人继承，因继承房屋占用宅基地的，可按规定申请登记。继承人属非本农民集体经济组织成员（城镇居民）的，须在不动产登记簿及证书附记栏注记“该权利人为本农民集体经济组织原成员住宅的合法继承人”。</w:t>
      </w:r>
    </w:p>
    <w:p w:rsidR="00D12539" w:rsidRDefault="000663C3">
      <w:pPr>
        <w:pStyle w:val="a8"/>
        <w:spacing w:line="600" w:lineRule="exact"/>
        <w:ind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7、符合分户建房条件未分户，但未经批准另行建房分开居住的，经“三级确认”，村委会公告15天无异议或异议不成立的（由本村监委会查证），可按规定补办有关用地手续后，依法予以确权登记；未分开居住的，其实际使用的宅基地没有超过分户后建房用地合计面积标准的，依法按照实</w:t>
      </w:r>
    </w:p>
    <w:p w:rsidR="002D7BDD" w:rsidRDefault="000663C3" w:rsidP="00D12539">
      <w:pPr>
        <w:pStyle w:val="a8"/>
        <w:spacing w:line="600" w:lineRule="exact"/>
        <w:ind w:firstLineChars="0" w:firstLine="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际使用面积予以确权登记给多个共有人。</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夫妻离婚涉及分割房产而申请宅基地使用权及房屋所有权转移登记的，申请人可持离婚证、离婚判决书或调解书及离婚财产分割协议，按所分得的合法房屋面积，申请转移登记。登记时离婚双方分别按分割或分摊面积登记，并明确具体财产份额。</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9、宅基地院落虽未形成，但四至界限清楚，无纠纷，可按当时审批标准面积先行确权发证，若有后续建设，不得超出证载面积和超越四至界线范围。</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10、历史形成农村村民购买本农民集体经济组织村集体建设用地修建的房屋，符合一户一宅政策的，经村委会确认后，予以确权登记。</w:t>
      </w:r>
    </w:p>
    <w:p w:rsidR="002D7BDD" w:rsidRDefault="000663C3">
      <w:pPr>
        <w:pStyle w:val="a"/>
        <w:numPr>
          <w:ilvl w:val="0"/>
          <w:numId w:val="2"/>
        </w:numPr>
        <w:spacing w:beforeLines="0" w:afterLines="0" w:line="600" w:lineRule="exact"/>
        <w:ind w:firstLineChars="200" w:firstLine="643"/>
        <w:rPr>
          <w:rFonts w:ascii="仿宋_GB2312" w:eastAsia="仿宋_GB2312" w:hAnsi="仿宋_GB2312" w:cs="仿宋_GB2312"/>
          <w:sz w:val="32"/>
          <w:szCs w:val="32"/>
          <w:shd w:val="clear" w:color="auto" w:fill="FFFFFF"/>
        </w:rPr>
      </w:pPr>
      <w:r>
        <w:rPr>
          <w:rFonts w:ascii="楷体_GB2312" w:eastAsia="楷体_GB2312" w:hAnsi="楷体_GB2312" w:cs="楷体_GB2312" w:hint="eastAsia"/>
          <w:b/>
          <w:bCs/>
          <w:sz w:val="32"/>
          <w:szCs w:val="32"/>
          <w:shd w:val="clear" w:color="auto" w:fill="FFFFFF"/>
        </w:rPr>
        <w:t>面积确认</w:t>
      </w:r>
    </w:p>
    <w:p w:rsidR="002D7BDD" w:rsidRDefault="000663C3">
      <w:pPr>
        <w:pStyle w:val="a"/>
        <w:numPr>
          <w:ilvl w:val="0"/>
          <w:numId w:val="0"/>
        </w:numPr>
        <w:spacing w:beforeLines="0" w:afterLines="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政府组织开展的各阶段农村宅基地确权登记工作中，宅基地使用面积超出批准面积的，其超占面积经依法处理，登记发证时已计入载证面积的，以证载面积为准确权登记；未登记发证的，只认定批准面积，超占面积在登记簿和证书附记栏中注记。</w:t>
      </w:r>
      <w:r>
        <w:rPr>
          <w:rFonts w:ascii="仿宋_GB2312" w:eastAsia="仿宋_GB2312" w:hint="eastAsia"/>
          <w:sz w:val="32"/>
          <w:szCs w:val="32"/>
        </w:rPr>
        <w:br/>
      </w:r>
      <w:r>
        <w:rPr>
          <w:rFonts w:ascii="仿宋_GB2312" w:eastAsia="仿宋_GB2312" w:hAnsi="仿宋_GB2312" w:cs="仿宋_GB2312" w:hint="eastAsia"/>
          <w:sz w:val="32"/>
          <w:szCs w:val="32"/>
          <w:shd w:val="clear" w:color="auto" w:fill="FFFFFF"/>
        </w:rPr>
        <w:t xml:space="preserve">　　1、1987年1月1日《土地管理法》实施前，农民集体经济组织成员建房占用的宅基地，至今未扩大的，均按实际使用面积予以确权登记。</w:t>
      </w:r>
    </w:p>
    <w:p w:rsidR="00AB1C76" w:rsidRDefault="000663C3">
      <w:pPr>
        <w:pStyle w:val="a"/>
        <w:numPr>
          <w:ilvl w:val="0"/>
          <w:numId w:val="0"/>
        </w:numPr>
        <w:spacing w:beforeLines="0" w:afterLines="0" w:line="60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2、1987年1月1日《土地管理法》实施起至1999年1</w:t>
      </w:r>
    </w:p>
    <w:p w:rsidR="00D12539" w:rsidRDefault="000663C3" w:rsidP="00AB1C76">
      <w:pPr>
        <w:pStyle w:val="a"/>
        <w:numPr>
          <w:ilvl w:val="0"/>
          <w:numId w:val="0"/>
        </w:numPr>
        <w:spacing w:beforeLines="0" w:afterLines="0" w:line="60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月1日《土地管理法》修订实施时止，农民集体经济组织成</w:t>
      </w:r>
    </w:p>
    <w:p w:rsidR="002D7BDD" w:rsidRDefault="000663C3" w:rsidP="00AB1C76">
      <w:pPr>
        <w:pStyle w:val="a"/>
        <w:numPr>
          <w:ilvl w:val="0"/>
          <w:numId w:val="0"/>
        </w:numPr>
        <w:spacing w:beforeLines="0" w:afterLines="0" w:line="60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员建房占用的宅基地，无法提供合法批准面积的，宅基地确权登记标准面积上限按333.0平方米/户认定；1999年1月1日《土地管理法》修订实施后，农民集体经济组织成员建房占用的宅基地，无法提供合法批准面积的，宅基地确权登记标准面积上限按塬区或山区267.0平方米/户、川区200.0平方米/户认定。</w:t>
      </w:r>
    </w:p>
    <w:p w:rsidR="002D7BDD" w:rsidRDefault="000663C3">
      <w:pPr>
        <w:pStyle w:val="a"/>
        <w:numPr>
          <w:ilvl w:val="0"/>
          <w:numId w:val="0"/>
        </w:numPr>
        <w:spacing w:beforeLines="0" w:afterLines="0" w:line="600" w:lineRule="exact"/>
        <w:ind w:firstLine="640"/>
        <w:rPr>
          <w:rFonts w:ascii="仿宋_GB2312" w:eastAsia="仿宋_GB2312"/>
          <w:sz w:val="32"/>
          <w:szCs w:val="32"/>
        </w:rPr>
      </w:pPr>
      <w:r>
        <w:rPr>
          <w:rFonts w:ascii="仿宋_GB2312" w:eastAsia="仿宋_GB2312" w:hAnsi="仿宋_GB2312" w:cs="仿宋_GB2312" w:hint="eastAsia"/>
          <w:sz w:val="32"/>
          <w:szCs w:val="32"/>
          <w:shd w:val="clear" w:color="auto" w:fill="FFFFFF"/>
        </w:rPr>
        <w:t>3、有用地审批手续或已登记发证，至今未翻（改、扩）建的，其宅基地确权登记面积按照批准面积或</w:t>
      </w:r>
      <w:r>
        <w:rPr>
          <w:rFonts w:ascii="仿宋_GB2312" w:eastAsia="仿宋_GB2312" w:hint="eastAsia"/>
          <w:sz w:val="32"/>
          <w:szCs w:val="32"/>
        </w:rPr>
        <w:t>原土地证证载面积</w:t>
      </w:r>
      <w:r>
        <w:rPr>
          <w:rFonts w:ascii="仿宋_GB2312" w:eastAsia="仿宋_GB2312" w:hAnsi="仿宋_GB2312" w:cs="仿宋_GB2312" w:hint="eastAsia"/>
          <w:sz w:val="32"/>
          <w:szCs w:val="32"/>
          <w:shd w:val="clear" w:color="auto" w:fill="FFFFFF"/>
        </w:rPr>
        <w:t>认定（</w:t>
      </w:r>
      <w:r>
        <w:rPr>
          <w:rFonts w:ascii="仿宋_GB2312" w:eastAsia="仿宋_GB2312" w:hint="eastAsia"/>
          <w:sz w:val="32"/>
          <w:szCs w:val="32"/>
        </w:rPr>
        <w:t>若本次宗地实测面积小于</w:t>
      </w:r>
      <w:r>
        <w:rPr>
          <w:rFonts w:ascii="仿宋_GB2312" w:eastAsia="仿宋_GB2312" w:hAnsi="仿宋_GB2312" w:cs="仿宋_GB2312" w:hint="eastAsia"/>
          <w:sz w:val="32"/>
          <w:szCs w:val="32"/>
          <w:shd w:val="clear" w:color="auto" w:fill="FFFFFF"/>
        </w:rPr>
        <w:t>批准面积或</w:t>
      </w:r>
      <w:r>
        <w:rPr>
          <w:rFonts w:ascii="仿宋_GB2312" w:eastAsia="仿宋_GB2312" w:hint="eastAsia"/>
          <w:sz w:val="32"/>
          <w:szCs w:val="32"/>
        </w:rPr>
        <w:t>原土地证证载面积，确权登记面积以本次宗地实测面积为准；若宗地实测面积大于</w:t>
      </w:r>
      <w:r>
        <w:rPr>
          <w:rFonts w:ascii="仿宋_GB2312" w:eastAsia="仿宋_GB2312" w:hAnsi="仿宋_GB2312" w:cs="仿宋_GB2312" w:hint="eastAsia"/>
          <w:sz w:val="32"/>
          <w:szCs w:val="32"/>
          <w:shd w:val="clear" w:color="auto" w:fill="FFFFFF"/>
        </w:rPr>
        <w:t>批准面积或</w:t>
      </w:r>
      <w:r>
        <w:rPr>
          <w:rFonts w:ascii="仿宋_GB2312" w:eastAsia="仿宋_GB2312" w:hint="eastAsia"/>
          <w:sz w:val="32"/>
          <w:szCs w:val="32"/>
        </w:rPr>
        <w:t>原土地证证载面积，确权登记面积以</w:t>
      </w:r>
      <w:r>
        <w:rPr>
          <w:rFonts w:ascii="仿宋_GB2312" w:eastAsia="仿宋_GB2312" w:hAnsi="仿宋_GB2312" w:cs="仿宋_GB2312" w:hint="eastAsia"/>
          <w:sz w:val="32"/>
          <w:szCs w:val="32"/>
          <w:shd w:val="clear" w:color="auto" w:fill="FFFFFF"/>
        </w:rPr>
        <w:t>批准面积或</w:t>
      </w:r>
      <w:r>
        <w:rPr>
          <w:rFonts w:ascii="仿宋_GB2312" w:eastAsia="仿宋_GB2312" w:hint="eastAsia"/>
          <w:sz w:val="32"/>
          <w:szCs w:val="32"/>
        </w:rPr>
        <w:t>原土地证证载面积为准，超占面积在登记簿和证书附记栏中注记</w:t>
      </w:r>
      <w:r>
        <w:rPr>
          <w:rFonts w:ascii="仿宋_GB2312" w:eastAsia="仿宋_GB2312" w:hAnsi="仿宋_GB2312" w:cs="仿宋_GB2312" w:hint="eastAsia"/>
          <w:sz w:val="32"/>
          <w:szCs w:val="32"/>
          <w:shd w:val="clear" w:color="auto" w:fill="FFFFFF"/>
        </w:rPr>
        <w:t>）</w:t>
      </w:r>
      <w:r>
        <w:rPr>
          <w:rFonts w:ascii="仿宋_GB2312" w:eastAsia="仿宋_GB2312" w:hint="eastAsia"/>
          <w:sz w:val="32"/>
          <w:szCs w:val="32"/>
        </w:rPr>
        <w:t>。无用地审批手续的，按“</w:t>
      </w:r>
      <w:r>
        <w:rPr>
          <w:rFonts w:ascii="仿宋_GB2312" w:eastAsia="仿宋_GB2312" w:hAnsi="仿宋_GB2312" w:cs="仿宋_GB2312" w:hint="eastAsia"/>
          <w:sz w:val="32"/>
          <w:szCs w:val="32"/>
          <w:shd w:val="clear" w:color="auto" w:fill="FFFFFF"/>
        </w:rPr>
        <w:t>三级确认”审核意见经补办用地手续后，以认定的标准面积为准，参照上述规定予以确权登记。宅基地实际使用面积超过面积认定标准的部分，</w:t>
      </w:r>
      <w:r>
        <w:rPr>
          <w:rFonts w:ascii="仿宋_GB2312" w:eastAsia="仿宋_GB2312" w:hint="eastAsia"/>
          <w:sz w:val="32"/>
          <w:szCs w:val="32"/>
        </w:rPr>
        <w:t>在登记簿和证书附记栏中注记。</w:t>
      </w:r>
    </w:p>
    <w:p w:rsidR="002D7BDD" w:rsidRDefault="000663C3">
      <w:pPr>
        <w:pStyle w:val="a"/>
        <w:numPr>
          <w:ilvl w:val="0"/>
          <w:numId w:val="0"/>
        </w:numPr>
        <w:spacing w:beforeLines="0" w:afterLines="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历史上接受转让（买卖）、赠与、互换房屋占用的宅基地超过我县规定批准面积标准的，按照转让（买卖）、赠与、互换行为发生时对宅基地超面积标准的政策规定，经“三级确认”后，予以确权登记。宅基地实际使用面积超过面积认定标准的部分，</w:t>
      </w:r>
      <w:r>
        <w:rPr>
          <w:rFonts w:ascii="仿宋_GB2312" w:eastAsia="仿宋_GB2312" w:hint="eastAsia"/>
          <w:sz w:val="32"/>
          <w:szCs w:val="32"/>
        </w:rPr>
        <w:t>在登记簿和证书附记栏中注记。</w:t>
      </w:r>
    </w:p>
    <w:p w:rsidR="00AB1C76" w:rsidRDefault="000663C3">
      <w:pPr>
        <w:pStyle w:val="a"/>
        <w:numPr>
          <w:ilvl w:val="0"/>
          <w:numId w:val="0"/>
        </w:numPr>
        <w:spacing w:beforeLines="0" w:afterLines="0" w:line="60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5、回原籍村庄、集镇落户的职工、退伍军人、离（退）</w:t>
      </w:r>
    </w:p>
    <w:p w:rsidR="00D12539" w:rsidRDefault="000663C3">
      <w:pPr>
        <w:pStyle w:val="a"/>
        <w:numPr>
          <w:ilvl w:val="0"/>
          <w:numId w:val="0"/>
        </w:numPr>
        <w:spacing w:beforeLines="0" w:afterLines="0" w:line="60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休干部以及回乡定居的华侨、港澳台同胞等，原在农村合法</w:t>
      </w:r>
    </w:p>
    <w:p w:rsidR="002D7BDD" w:rsidRDefault="000663C3">
      <w:pPr>
        <w:pStyle w:val="a"/>
        <w:numPr>
          <w:ilvl w:val="0"/>
          <w:numId w:val="0"/>
        </w:numPr>
        <w:spacing w:beforeLines="0" w:afterLines="0" w:line="60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取得的宅基地或因合法取得房屋而占用的宅基地，其确权登记面积参照所在地本农民集体经济组织成员相关标准执行。</w:t>
      </w:r>
    </w:p>
    <w:p w:rsidR="002D7BDD" w:rsidRDefault="000663C3">
      <w:pPr>
        <w:pStyle w:val="a"/>
        <w:numPr>
          <w:ilvl w:val="0"/>
          <w:numId w:val="0"/>
        </w:numPr>
        <w:spacing w:beforeLines="0" w:afterLines="0"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6、房屋确权登记面积应符合</w:t>
      </w:r>
      <w:r>
        <w:rPr>
          <w:rFonts w:ascii="仿宋_GB2312" w:eastAsia="仿宋_GB2312" w:hAnsi="宋体" w:cs="宋体" w:hint="eastAsia"/>
          <w:sz w:val="32"/>
          <w:szCs w:val="32"/>
        </w:rPr>
        <w:t>合法宅基地上房屋建筑面积上限，</w:t>
      </w:r>
      <w:r>
        <w:rPr>
          <w:rFonts w:ascii="仿宋_GB2312" w:eastAsia="仿宋_GB2312" w:hAnsi="仿宋_GB2312" w:cs="仿宋_GB2312" w:hint="eastAsia"/>
          <w:sz w:val="32"/>
          <w:szCs w:val="32"/>
          <w:shd w:val="clear" w:color="auto" w:fill="FFFFFF"/>
        </w:rPr>
        <w:t>按照房屋现状认定，以权籍调查测绘面积为准。</w:t>
      </w:r>
    </w:p>
    <w:p w:rsidR="002D7BDD" w:rsidRDefault="000663C3">
      <w:pPr>
        <w:pStyle w:val="a6"/>
        <w:widowControl/>
        <w:wordWrap w:val="0"/>
        <w:spacing w:line="600" w:lineRule="exact"/>
        <w:ind w:firstLineChars="200" w:firstLine="643"/>
        <w:jc w:val="both"/>
        <w:rPr>
          <w:rFonts w:ascii="楷体_GB2312" w:eastAsia="楷体_GB2312" w:hAnsi="楷体_GB2312" w:cs="楷体_GB2312"/>
          <w:b/>
          <w:bCs/>
          <w:kern w:val="2"/>
          <w:sz w:val="32"/>
          <w:szCs w:val="32"/>
        </w:rPr>
      </w:pPr>
      <w:r>
        <w:rPr>
          <w:rFonts w:ascii="楷体_GB2312" w:eastAsia="楷体_GB2312" w:hAnsi="楷体_GB2312" w:cs="楷体_GB2312" w:hint="eastAsia"/>
          <w:b/>
          <w:bCs/>
          <w:sz w:val="32"/>
          <w:szCs w:val="32"/>
          <w:shd w:val="clear" w:color="auto" w:fill="FFFFFF"/>
        </w:rPr>
        <w:t>（四）</w:t>
      </w:r>
      <w:r>
        <w:rPr>
          <w:rFonts w:ascii="楷体_GB2312" w:eastAsia="楷体_GB2312" w:hAnsi="楷体_GB2312" w:cs="楷体_GB2312" w:hint="eastAsia"/>
          <w:b/>
          <w:bCs/>
          <w:kern w:val="2"/>
          <w:sz w:val="32"/>
          <w:szCs w:val="32"/>
        </w:rPr>
        <w:t>暂缓登记发证的情形</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有下列情况之一的，暂缓登记发证：</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1、宅基地使用权及房屋所有权权属存在争议的；</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2、宅基地上未建设房屋，不符合“房地一体”确权登记要求的；</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3、宅基地使用范围未</w:t>
      </w:r>
      <w:r>
        <w:rPr>
          <w:rFonts w:ascii="仿宋_GB2312" w:eastAsia="仿宋_GB2312" w:hint="eastAsia"/>
          <w:sz w:val="32"/>
          <w:szCs w:val="32"/>
        </w:rPr>
        <w:t>形成固定院落，四至界线不清的；</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4、宅基地及房屋违法违规行为尚未处理的；</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bCs/>
          <w:sz w:val="32"/>
          <w:szCs w:val="32"/>
        </w:rPr>
        <w:t>已依法纳入棚户区改造、征地拆迁、搬迁避让范围的</w:t>
      </w:r>
      <w:r>
        <w:rPr>
          <w:rFonts w:ascii="仿宋_GB2312" w:eastAsia="仿宋_GB2312" w:hAnsi="仿宋_GB2312" w:cs="仿宋_GB2312" w:hint="eastAsia"/>
          <w:sz w:val="32"/>
          <w:szCs w:val="32"/>
          <w:shd w:val="clear" w:color="auto" w:fill="FFFFFF"/>
        </w:rPr>
        <w:t>农村宅基地上建造的房屋；</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6、房屋存在严重安全隐患的（D级危房）;</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7、其他暂缓登记的情形。</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上述情形消除后，依法按程序确权登记。</w:t>
      </w:r>
    </w:p>
    <w:p w:rsidR="002D7BDD" w:rsidRDefault="000663C3">
      <w:pPr>
        <w:pStyle w:val="a6"/>
        <w:widowControl/>
        <w:wordWrap w:val="0"/>
        <w:spacing w:line="600" w:lineRule="exact"/>
        <w:ind w:firstLineChars="200" w:firstLine="643"/>
        <w:jc w:val="both"/>
        <w:rPr>
          <w:rFonts w:ascii="仿宋_GB2312" w:eastAsia="仿宋_GB2312"/>
          <w:sz w:val="32"/>
          <w:szCs w:val="32"/>
        </w:rPr>
      </w:pPr>
      <w:r>
        <w:rPr>
          <w:rFonts w:ascii="楷体_GB2312" w:eastAsia="楷体_GB2312" w:hAnsi="楷体_GB2312" w:cs="楷体_GB2312" w:hint="eastAsia"/>
          <w:b/>
          <w:bCs/>
          <w:kern w:val="2"/>
          <w:sz w:val="32"/>
          <w:szCs w:val="32"/>
        </w:rPr>
        <w:t>（五）不予登记发证的情形</w:t>
      </w:r>
    </w:p>
    <w:p w:rsidR="002D7BDD" w:rsidRDefault="000663C3">
      <w:pPr>
        <w:spacing w:line="60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有下列情况之一的，不予登记发证：</w:t>
      </w:r>
    </w:p>
    <w:p w:rsidR="002D7BDD" w:rsidRDefault="000663C3">
      <w:pPr>
        <w:spacing w:line="60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1、非农村集体经济组织成员（如城镇居民、外来人口等）在农村违法购买和建造住宅申请宅基地使用权登记的； </w:t>
      </w:r>
    </w:p>
    <w:p w:rsidR="002D7BDD" w:rsidRDefault="000663C3">
      <w:pPr>
        <w:spacing w:line="60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2、使用集体土地修建的小产权房；</w:t>
      </w:r>
    </w:p>
    <w:p w:rsidR="002D7BDD" w:rsidRDefault="000663C3">
      <w:pPr>
        <w:spacing w:line="600" w:lineRule="exact"/>
        <w:ind w:firstLineChars="200" w:firstLine="640"/>
        <w:rPr>
          <w:rFonts w:ascii="仿宋_GB2312" w:eastAsia="仿宋_GB2312"/>
          <w:sz w:val="32"/>
          <w:szCs w:val="32"/>
        </w:rPr>
      </w:pPr>
      <w:r>
        <w:rPr>
          <w:rFonts w:ascii="仿宋_GB2312" w:eastAsia="仿宋_GB2312" w:hAnsi="仿宋_GB2312" w:cs="仿宋_GB2312" w:hint="eastAsia"/>
          <w:kern w:val="0"/>
          <w:sz w:val="32"/>
          <w:szCs w:val="32"/>
          <w:shd w:val="clear" w:color="auto" w:fill="FFFFFF"/>
        </w:rPr>
        <w:t>3、</w:t>
      </w:r>
      <w:r>
        <w:rPr>
          <w:rFonts w:ascii="仿宋_GB2312" w:eastAsia="仿宋_GB2312" w:hint="eastAsia"/>
          <w:sz w:val="32"/>
          <w:szCs w:val="32"/>
        </w:rPr>
        <w:t>被列入全县农村建房乱占耕地接受处理的违法违章建房；</w:t>
      </w:r>
    </w:p>
    <w:p w:rsidR="002D7BDD" w:rsidRDefault="000663C3">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Pr>
          <w:rFonts w:ascii="仿宋_GB2312" w:eastAsia="仿宋_GB2312" w:hAnsi="仿宋_GB2312" w:cs="仿宋_GB2312" w:hint="eastAsia"/>
          <w:sz w:val="32"/>
          <w:szCs w:val="32"/>
          <w:shd w:val="clear" w:color="auto" w:fill="FFFFFF"/>
        </w:rPr>
        <w:t>农村村民转让（买卖）、出租、赠与房屋后，再申请宅基地登记的，不予受理；</w:t>
      </w:r>
    </w:p>
    <w:p w:rsidR="00323488" w:rsidRDefault="000663C3">
      <w:pPr>
        <w:pStyle w:val="a6"/>
        <w:widowControl/>
        <w:wordWrap w:val="0"/>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5、</w:t>
      </w:r>
      <w:r>
        <w:rPr>
          <w:rFonts w:ascii="仿宋_GB2312" w:eastAsia="仿宋_GB2312" w:hAnsi="仿宋_GB2312" w:cs="仿宋_GB2312" w:hint="eastAsia"/>
          <w:sz w:val="32"/>
          <w:szCs w:val="32"/>
          <w:shd w:val="clear" w:color="auto" w:fill="FFFFFF"/>
        </w:rPr>
        <w:t>法律、法规规定的其他不予登记的情形。</w:t>
      </w:r>
    </w:p>
    <w:p w:rsidR="00323488" w:rsidRDefault="000663C3">
      <w:pPr>
        <w:pStyle w:val="a6"/>
        <w:widowControl/>
        <w:wordWrap w:val="0"/>
        <w:spacing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三、</w:t>
      </w:r>
      <w:bookmarkStart w:id="2" w:name="_Toc451780702"/>
      <w:bookmarkStart w:id="3" w:name="_Toc448911512"/>
      <w:r>
        <w:rPr>
          <w:rFonts w:ascii="黑体" w:eastAsia="黑体" w:hAnsi="黑体" w:cs="黑体" w:hint="eastAsia"/>
          <w:sz w:val="32"/>
          <w:szCs w:val="32"/>
          <w:shd w:val="clear" w:color="auto" w:fill="FFFFFF"/>
        </w:rPr>
        <w:t>集体建设用地使用权及建筑物、构筑物所有权</w:t>
      </w:r>
      <w:bookmarkEnd w:id="2"/>
      <w:bookmarkEnd w:id="3"/>
      <w:r>
        <w:rPr>
          <w:rFonts w:ascii="黑体" w:eastAsia="黑体" w:hAnsi="黑体" w:cs="黑体" w:hint="eastAsia"/>
          <w:sz w:val="32"/>
          <w:szCs w:val="32"/>
          <w:shd w:val="clear" w:color="auto" w:fill="FFFFFF"/>
        </w:rPr>
        <w:t>确权登记</w:t>
      </w:r>
    </w:p>
    <w:p w:rsidR="00323488" w:rsidRDefault="000663C3">
      <w:pPr>
        <w:pStyle w:val="a6"/>
        <w:widowControl/>
        <w:wordWrap w:val="0"/>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1987年1月1日《土地管理法》实施前，使用集体土地兴办的乡镇企业、公共设施、公益事业等乡(镇)村建设，经所在乡镇人民政府审核后，可依法对集体建设用地使用权予以确权登记。乡镇企业用地和其他经依法批准用于非住宅建设的集体土地，至今仍继续使用的，经所在</w:t>
      </w:r>
      <w:r>
        <w:rPr>
          <w:rFonts w:ascii="仿宋_GB2312" w:eastAsia="仿宋_GB2312" w:hint="eastAsia"/>
          <w:sz w:val="32"/>
          <w:szCs w:val="32"/>
        </w:rPr>
        <w:t>农民集体经济组织或村委会</w:t>
      </w:r>
      <w:r>
        <w:rPr>
          <w:rFonts w:ascii="仿宋_GB2312" w:eastAsia="仿宋_GB2312" w:hAnsi="仿宋_GB2312" w:cs="仿宋_GB2312" w:hint="eastAsia"/>
          <w:sz w:val="32"/>
          <w:szCs w:val="32"/>
          <w:shd w:val="clear" w:color="auto" w:fill="FFFFFF"/>
        </w:rPr>
        <w:t>同意，报乡镇人民政府审核后，依法对使用单位的集体建设用地使用权予以确权登记。</w:t>
      </w:r>
    </w:p>
    <w:p w:rsidR="00323488" w:rsidRDefault="000663C3">
      <w:pPr>
        <w:pStyle w:val="a6"/>
        <w:widowControl/>
        <w:wordWrap w:val="0"/>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（2）1987年1月1日《土地管理法》实施后，乡镇企业、公共设施、公益事业用地和其他经依法批准用于非住宅建设的集体土地，应当依据县级人民政府批准文件，对使用单位的集体建设用地使用权予以确权登记。</w:t>
      </w:r>
    </w:p>
    <w:p w:rsidR="00323488" w:rsidRDefault="000663C3">
      <w:pPr>
        <w:pStyle w:val="a6"/>
        <w:widowControl/>
        <w:wordWrap w:val="0"/>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对于没有权属来源材料的集体建设用地，应当查明土地历史使用情况和现状，认定属于合法使用的，经所在农民集体经济组织或村委会同意，公告30天无异议或异议不成立的，经乡镇人民政府审核，报县级人民政府批准，予以确权登记。</w:t>
      </w:r>
    </w:p>
    <w:p w:rsidR="00323488" w:rsidRDefault="000663C3">
      <w:pPr>
        <w:pStyle w:val="a6"/>
        <w:widowControl/>
        <w:wordWrap w:val="0"/>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（4）集体建设用地上的建（构）筑物应提供建设工程</w:t>
      </w:r>
    </w:p>
    <w:p w:rsidR="00D12539" w:rsidRDefault="000663C3" w:rsidP="00323488">
      <w:pPr>
        <w:pStyle w:val="a6"/>
        <w:widowControl/>
        <w:wordWrap w:val="0"/>
        <w:spacing w:line="60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符合规划的材料和房屋已竣工的材料。无法提供的，仅确定</w:t>
      </w:r>
    </w:p>
    <w:p w:rsidR="002D7BDD" w:rsidRDefault="000663C3" w:rsidP="00323488">
      <w:pPr>
        <w:pStyle w:val="a6"/>
        <w:widowControl/>
        <w:wordWrap w:val="0"/>
        <w:spacing w:line="60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集体建设用地使用权，暂不确定地上建（构）筑物所有权。</w:t>
      </w:r>
      <w:r>
        <w:rPr>
          <w:rFonts w:ascii="仿宋_GB2312" w:eastAsia="仿宋_GB2312" w:hAnsi="仿宋_GB2312" w:cs="仿宋_GB2312" w:hint="eastAsia"/>
          <w:sz w:val="32"/>
          <w:szCs w:val="32"/>
          <w:shd w:val="clear" w:color="auto" w:fill="FFFFFF"/>
        </w:rPr>
        <w:br/>
        <w:t xml:space="preserve">　　（5）权属发生变更，不符合使用集体建设用地条件的不予登记。</w:t>
      </w:r>
    </w:p>
    <w:p w:rsidR="002D7BDD" w:rsidRDefault="000663C3">
      <w:pPr>
        <w:pStyle w:val="a6"/>
        <w:widowControl/>
        <w:wordWrap w:val="0"/>
        <w:spacing w:line="60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四、其他</w:t>
      </w:r>
    </w:p>
    <w:p w:rsidR="002D7BDD" w:rsidRDefault="000663C3">
      <w:pPr>
        <w:pStyle w:val="a6"/>
        <w:shd w:val="clear" w:color="auto" w:fill="FFFFFF"/>
        <w:spacing w:line="60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1、乱占耕地建房、违反生态保护管控要求建房、城镇居民非法购买宅基地、小产权房等，不得办理登记，不得通过登记将违法用地合法化。</w:t>
      </w:r>
    </w:p>
    <w:p w:rsidR="002D7BDD" w:rsidRDefault="000663C3">
      <w:pPr>
        <w:pStyle w:val="a6"/>
        <w:widowControl/>
        <w:wordWrap w:val="0"/>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2、农村土窑洞只调查绘</w:t>
      </w:r>
      <w:bookmarkStart w:id="4" w:name="_GoBack"/>
      <w:bookmarkEnd w:id="4"/>
      <w:r>
        <w:rPr>
          <w:rFonts w:ascii="仿宋_GB2312" w:eastAsia="仿宋_GB2312" w:hAnsi="仿宋_GB2312" w:cs="仿宋_GB2312" w:hint="eastAsia"/>
          <w:sz w:val="32"/>
          <w:szCs w:val="32"/>
        </w:rPr>
        <w:t>制现状布局位置，登记数量，不丈量长宽，不计算面积。</w:t>
      </w:r>
    </w:p>
    <w:p w:rsidR="002D7BDD" w:rsidRDefault="000663C3">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shd w:val="clear" w:color="auto" w:fill="FFFFFF"/>
        </w:rPr>
        <w:t>“三级确认”程序指村民小组认可、村委会初审、乡镇人民政府确认。</w:t>
      </w:r>
    </w:p>
    <w:p w:rsidR="002D7BDD" w:rsidRDefault="000663C3">
      <w:pPr>
        <w:spacing w:line="600" w:lineRule="exact"/>
        <w:ind w:firstLineChars="200" w:firstLine="640"/>
        <w:rPr>
          <w:rFonts w:ascii="仿宋_GB2312" w:eastAsia="仿宋_GB2312" w:hAnsi="宋体"/>
          <w:sz w:val="13"/>
          <w:szCs w:val="13"/>
        </w:rPr>
      </w:pPr>
      <w:r>
        <w:rPr>
          <w:rFonts w:ascii="仿宋_GB2312" w:eastAsia="仿宋_GB2312" w:hAnsi="仿宋_GB2312" w:cs="仿宋_GB2312" w:hint="eastAsia"/>
          <w:sz w:val="32"/>
          <w:szCs w:val="32"/>
        </w:rPr>
        <w:t>4、本处理意见自发布之日起施行，今后若上级部门制定出台的相关政策规定与本处理意见不一致的，以新出台的政策为准。</w:t>
      </w:r>
    </w:p>
    <w:p w:rsidR="002D7BDD" w:rsidRDefault="002D7BDD">
      <w:pPr>
        <w:pStyle w:val="a6"/>
        <w:widowControl/>
        <w:wordWrap w:val="0"/>
        <w:spacing w:line="600" w:lineRule="exact"/>
        <w:ind w:firstLineChars="200" w:firstLine="640"/>
        <w:rPr>
          <w:rFonts w:ascii="仿宋_GB2312" w:eastAsia="仿宋_GB2312" w:hAnsi="仿宋_GB2312" w:cs="仿宋_GB2312"/>
          <w:sz w:val="32"/>
          <w:szCs w:val="32"/>
        </w:rPr>
      </w:pPr>
    </w:p>
    <w:p w:rsidR="00742831" w:rsidRDefault="00742831" w:rsidP="00742831">
      <w:pPr>
        <w:pStyle w:val="a"/>
        <w:numPr>
          <w:ilvl w:val="0"/>
          <w:numId w:val="0"/>
        </w:numPr>
        <w:spacing w:beforeLines="0" w:afterLines="0" w:line="600" w:lineRule="exact"/>
        <w:ind w:firstLineChars="1500" w:firstLine="4800"/>
        <w:rPr>
          <w:rFonts w:ascii="仿宋_GB2312" w:eastAsia="仿宋_GB2312" w:hAnsi="仿宋_GB2312" w:cs="仿宋_GB2312"/>
          <w:kern w:val="2"/>
          <w:sz w:val="32"/>
          <w:szCs w:val="32"/>
        </w:rPr>
      </w:pPr>
    </w:p>
    <w:p w:rsidR="002D7BDD" w:rsidRPr="00742831" w:rsidRDefault="002D7BDD" w:rsidP="00742831">
      <w:pPr>
        <w:pStyle w:val="a"/>
        <w:numPr>
          <w:ilvl w:val="0"/>
          <w:numId w:val="0"/>
        </w:numPr>
        <w:spacing w:beforeLines="0" w:afterLines="0" w:line="600" w:lineRule="exact"/>
        <w:ind w:firstLineChars="1500" w:firstLine="4800"/>
        <w:rPr>
          <w:rFonts w:ascii="仿宋_GB2312" w:eastAsia="仿宋_GB2312" w:hAnsi="仿宋_GB2312" w:cs="仿宋_GB2312"/>
          <w:kern w:val="2"/>
          <w:sz w:val="32"/>
          <w:szCs w:val="32"/>
        </w:rPr>
      </w:pPr>
    </w:p>
    <w:sectPr w:rsidR="002D7BDD" w:rsidRPr="00742831" w:rsidSect="002D7BD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A96" w:rsidRDefault="009C6A96" w:rsidP="002D7BDD">
      <w:r>
        <w:separator/>
      </w:r>
    </w:p>
  </w:endnote>
  <w:endnote w:type="continuationSeparator" w:id="1">
    <w:p w:rsidR="009C6A96" w:rsidRDefault="009C6A96" w:rsidP="002D7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DD" w:rsidRDefault="00515449">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D7BDD" w:rsidRDefault="00515449">
                <w:pPr>
                  <w:pStyle w:val="a4"/>
                </w:pPr>
                <w:r>
                  <w:fldChar w:fldCharType="begin"/>
                </w:r>
                <w:r w:rsidR="000663C3">
                  <w:instrText xml:space="preserve"> PAGE  \* MERGEFORMAT </w:instrText>
                </w:r>
                <w:r>
                  <w:fldChar w:fldCharType="separate"/>
                </w:r>
                <w:r w:rsidR="00046B65">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A96" w:rsidRDefault="009C6A96" w:rsidP="002D7BDD">
      <w:r>
        <w:separator/>
      </w:r>
    </w:p>
  </w:footnote>
  <w:footnote w:type="continuationSeparator" w:id="1">
    <w:p w:rsidR="009C6A96" w:rsidRDefault="009C6A96" w:rsidP="002D7B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F1F1D2"/>
    <w:multiLevelType w:val="singleLevel"/>
    <w:tmpl w:val="A7F1F1D2"/>
    <w:lvl w:ilvl="0">
      <w:start w:val="3"/>
      <w:numFmt w:val="chineseCounting"/>
      <w:suff w:val="nothing"/>
      <w:lvlText w:val="（%1）"/>
      <w:lvlJc w:val="left"/>
      <w:rPr>
        <w:rFonts w:hint="eastAsia"/>
        <w:b/>
        <w:bCs/>
      </w:rPr>
    </w:lvl>
  </w:abstractNum>
  <w:abstractNum w:abstractNumId="1">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315" w:firstLine="0"/>
      </w:pPr>
      <w:rPr>
        <w:rFonts w:ascii="黑体" w:eastAsia="黑体" w:hAnsi="Times New Roman" w:hint="eastAsia"/>
        <w:b w:val="0"/>
        <w:i w:val="0"/>
        <w:sz w:val="21"/>
      </w:rPr>
    </w:lvl>
    <w:lvl w:ilvl="3">
      <w:start w:val="1"/>
      <w:numFmt w:val="decimal"/>
      <w:suff w:val="nothing"/>
      <w:lvlText w:val="%1.%2.%3.%4　"/>
      <w:lvlJc w:val="left"/>
      <w:pPr>
        <w:ind w:left="94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liN2Q0MDU3ZTU0MWJhYjViYWY5MDkyOTFmMWQxZTUifQ=="/>
  </w:docVars>
  <w:rsids>
    <w:rsidRoot w:val="61A86695"/>
    <w:rsid w:val="00046B65"/>
    <w:rsid w:val="000663C3"/>
    <w:rsid w:val="002D7BDD"/>
    <w:rsid w:val="00323488"/>
    <w:rsid w:val="004947FD"/>
    <w:rsid w:val="004B4776"/>
    <w:rsid w:val="00515449"/>
    <w:rsid w:val="006C2C12"/>
    <w:rsid w:val="006D16F1"/>
    <w:rsid w:val="00742831"/>
    <w:rsid w:val="007B56E9"/>
    <w:rsid w:val="0082406F"/>
    <w:rsid w:val="008A1957"/>
    <w:rsid w:val="00923B1E"/>
    <w:rsid w:val="00965A6F"/>
    <w:rsid w:val="009C6A96"/>
    <w:rsid w:val="00AB1C76"/>
    <w:rsid w:val="00C07C33"/>
    <w:rsid w:val="00D12539"/>
    <w:rsid w:val="00D2237E"/>
    <w:rsid w:val="00F4551C"/>
    <w:rsid w:val="01B40F3F"/>
    <w:rsid w:val="01E94F83"/>
    <w:rsid w:val="04B7089E"/>
    <w:rsid w:val="05437DEB"/>
    <w:rsid w:val="05471F6D"/>
    <w:rsid w:val="078A435B"/>
    <w:rsid w:val="07F910B5"/>
    <w:rsid w:val="0B756E97"/>
    <w:rsid w:val="0FCF59FF"/>
    <w:rsid w:val="10020031"/>
    <w:rsid w:val="11346F8C"/>
    <w:rsid w:val="119A3339"/>
    <w:rsid w:val="11F04060"/>
    <w:rsid w:val="120D40DA"/>
    <w:rsid w:val="1232769D"/>
    <w:rsid w:val="1380268A"/>
    <w:rsid w:val="14CB202B"/>
    <w:rsid w:val="15674C2E"/>
    <w:rsid w:val="169E6B12"/>
    <w:rsid w:val="172759C9"/>
    <w:rsid w:val="17FB27D0"/>
    <w:rsid w:val="184D216A"/>
    <w:rsid w:val="1A3B555D"/>
    <w:rsid w:val="1A664FBB"/>
    <w:rsid w:val="1FEB532F"/>
    <w:rsid w:val="22FA2CC8"/>
    <w:rsid w:val="232466BE"/>
    <w:rsid w:val="23642D86"/>
    <w:rsid w:val="25701241"/>
    <w:rsid w:val="278365DD"/>
    <w:rsid w:val="2813407B"/>
    <w:rsid w:val="293259E4"/>
    <w:rsid w:val="29CE4D60"/>
    <w:rsid w:val="2A5355FD"/>
    <w:rsid w:val="2AB32EED"/>
    <w:rsid w:val="2BD82C0B"/>
    <w:rsid w:val="2D142FF2"/>
    <w:rsid w:val="2FF36512"/>
    <w:rsid w:val="31172428"/>
    <w:rsid w:val="32DE1F17"/>
    <w:rsid w:val="33270FFF"/>
    <w:rsid w:val="33D33319"/>
    <w:rsid w:val="37F17D10"/>
    <w:rsid w:val="383D4537"/>
    <w:rsid w:val="3B0613A1"/>
    <w:rsid w:val="3C6C3C19"/>
    <w:rsid w:val="3F0365C7"/>
    <w:rsid w:val="40324B88"/>
    <w:rsid w:val="41165346"/>
    <w:rsid w:val="424A6DED"/>
    <w:rsid w:val="4351518D"/>
    <w:rsid w:val="43751CEE"/>
    <w:rsid w:val="43A51B15"/>
    <w:rsid w:val="491A752B"/>
    <w:rsid w:val="49CB609C"/>
    <w:rsid w:val="4A317669"/>
    <w:rsid w:val="4C245178"/>
    <w:rsid w:val="4C4E3818"/>
    <w:rsid w:val="4D1D271C"/>
    <w:rsid w:val="4E147AC4"/>
    <w:rsid w:val="51BB20EF"/>
    <w:rsid w:val="57350276"/>
    <w:rsid w:val="57C245EC"/>
    <w:rsid w:val="5A0013FC"/>
    <w:rsid w:val="5A3A48D6"/>
    <w:rsid w:val="5E7F4FE5"/>
    <w:rsid w:val="5F702B80"/>
    <w:rsid w:val="61A86695"/>
    <w:rsid w:val="664B0FC1"/>
    <w:rsid w:val="67043C76"/>
    <w:rsid w:val="6ABD411F"/>
    <w:rsid w:val="6ACB3360"/>
    <w:rsid w:val="6C334156"/>
    <w:rsid w:val="6D12316B"/>
    <w:rsid w:val="6D1D16D2"/>
    <w:rsid w:val="6EB32A89"/>
    <w:rsid w:val="6F8A1A3C"/>
    <w:rsid w:val="710A4F54"/>
    <w:rsid w:val="725F7E84"/>
    <w:rsid w:val="72C60BDD"/>
    <w:rsid w:val="72F90FF2"/>
    <w:rsid w:val="75F23E97"/>
    <w:rsid w:val="75FD54FF"/>
    <w:rsid w:val="762027B2"/>
    <w:rsid w:val="7706409E"/>
    <w:rsid w:val="774A0D27"/>
    <w:rsid w:val="7A9F42A7"/>
    <w:rsid w:val="7B3F7C92"/>
    <w:rsid w:val="7B6D43DC"/>
    <w:rsid w:val="7CF21C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7BDD"/>
    <w:pPr>
      <w:widowControl w:val="0"/>
      <w:jc w:val="both"/>
    </w:pPr>
    <w:rPr>
      <w:kern w:val="2"/>
      <w:sz w:val="21"/>
      <w:szCs w:val="24"/>
    </w:rPr>
  </w:style>
  <w:style w:type="paragraph" w:styleId="1">
    <w:name w:val="heading 1"/>
    <w:basedOn w:val="a0"/>
    <w:next w:val="a0"/>
    <w:qFormat/>
    <w:rsid w:val="002D7BDD"/>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2D7BDD"/>
    <w:pPr>
      <w:tabs>
        <w:tab w:val="center" w:pos="4153"/>
        <w:tab w:val="right" w:pos="8306"/>
      </w:tabs>
      <w:snapToGrid w:val="0"/>
      <w:jc w:val="left"/>
    </w:pPr>
    <w:rPr>
      <w:sz w:val="18"/>
    </w:rPr>
  </w:style>
  <w:style w:type="paragraph" w:styleId="a5">
    <w:name w:val="header"/>
    <w:basedOn w:val="a0"/>
    <w:rsid w:val="002D7BD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0"/>
    <w:qFormat/>
    <w:rsid w:val="002D7BDD"/>
    <w:pPr>
      <w:jc w:val="left"/>
    </w:pPr>
    <w:rPr>
      <w:rFonts w:cs="Times New Roman"/>
      <w:kern w:val="0"/>
      <w:sz w:val="24"/>
    </w:rPr>
  </w:style>
  <w:style w:type="character" w:styleId="a7">
    <w:name w:val="Strong"/>
    <w:basedOn w:val="a1"/>
    <w:uiPriority w:val="22"/>
    <w:qFormat/>
    <w:rsid w:val="002D7BDD"/>
    <w:rPr>
      <w:b/>
      <w:bCs/>
    </w:rPr>
  </w:style>
  <w:style w:type="paragraph" w:customStyle="1" w:styleId="a">
    <w:name w:val="章标题"/>
    <w:next w:val="a8"/>
    <w:qFormat/>
    <w:rsid w:val="002D7BDD"/>
    <w:pPr>
      <w:numPr>
        <w:numId w:val="1"/>
      </w:numPr>
      <w:spacing w:beforeLines="100" w:afterLines="100"/>
      <w:jc w:val="both"/>
      <w:outlineLvl w:val="1"/>
    </w:pPr>
    <w:rPr>
      <w:rFonts w:ascii="黑体" w:eastAsia="黑体" w:hAnsi="Times New Roman" w:cs="Times New Roman"/>
      <w:sz w:val="21"/>
    </w:rPr>
  </w:style>
  <w:style w:type="paragraph" w:customStyle="1" w:styleId="a8">
    <w:name w:val="段"/>
    <w:rsid w:val="002D7BDD"/>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gansu.tuliu.com/gongy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uliu.com/tags/4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772</Words>
  <Characters>4407</Characters>
  <Application>Microsoft Office Word</Application>
  <DocSecurity>0</DocSecurity>
  <Lines>36</Lines>
  <Paragraphs>10</Paragraphs>
  <ScaleCrop>false</ScaleCrop>
  <Company>Microsoft</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10</cp:revision>
  <cp:lastPrinted>2022-08-08T00:22:00Z</cp:lastPrinted>
  <dcterms:created xsi:type="dcterms:W3CDTF">2022-08-07T23:52:00Z</dcterms:created>
  <dcterms:modified xsi:type="dcterms:W3CDTF">2022-08-18T03:17:00Z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3871B621877A45C2BDE363F1880B8F40</vt:lpwstr>
  </property>
</Properties>
</file>