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正振兴局发〔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正宁县乡村振兴局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关于上报202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情况的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政府办：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按照你办通知要求，我局对202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年度政府信息公开工作情况进行了认真梳理汇总，现将相关情况随文呈报。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《中华人民共和国政府信息公开条例》，我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高度重视政府信息公开工作，把政府信息公开工作列入重要议事日程，形成“一把手”亲自抓，分管领导具体负责，各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股室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具体承办，综合股统筹发布的领导体制和工作机制，确保信息公开全面、及时、准确、无差错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，不断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增加工作透明度，切实保障广大群众对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（一）主动公开信息数量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机构概况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规划方案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所公开的内容及时准确，符合规定。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（二）公开的内容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1.机构概况方面，公开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主要职责，领导分工，机构设置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职能、职责权限等。2.政策法规方面，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公开《乡村振兴局机关管理制度（试行）》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。3.规划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方面，主动公开了《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2022年巩固拓展脱贫攻坚成果同乡村振兴有效衔接工作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《正宁县乡村建设行动实施方案（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2023-2025年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）》等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衔接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资金方面，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中央省市县乡村振兴衔接补助资金项目库建设、项目资金计划和东西部协作资金计划等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工作信息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方面，主动公开了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巩固拓展脱贫攻坚成果同乡村振兴有效衔接工作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实时动态信息等。</w:t>
      </w:r>
    </w:p>
    <w:tbl>
      <w:tblPr>
        <w:tblStyle w:val="5"/>
        <w:tblW w:w="8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9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8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8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8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三、收到和处理政府信息公开申请情况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年，无政府信息公开申请情况。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48"/>
        <w:gridCol w:w="2474"/>
        <w:gridCol w:w="681"/>
        <w:gridCol w:w="681"/>
        <w:gridCol w:w="681"/>
        <w:gridCol w:w="682"/>
        <w:gridCol w:w="683"/>
        <w:gridCol w:w="684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390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90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390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8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3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39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both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both"/>
              <w:textAlignment w:val="auto"/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both"/>
              <w:textAlignment w:val="auto"/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、政府信息公开行政复议和行政诉讼情况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年，无政府信息公开行政复议和行政诉讼情况。</w:t>
      </w:r>
    </w:p>
    <w:tbl>
      <w:tblPr>
        <w:tblStyle w:val="5"/>
        <w:tblW w:w="90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637"/>
        <w:gridCol w:w="617"/>
        <w:gridCol w:w="711"/>
        <w:gridCol w:w="506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9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7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0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政务公开、政府信息公开工作取得了一定的成绩，但对照上级的要求和公众的期望，还存在信息主动、及时公开的频率和时间需进一步规范等问题。在以后工作中，我们将继续认真落实国家和省、市、县政府信息公开工作要求，持续把握新时代政务公开工作的新任务、新要求，进一步增强工作的主动性和创造性，强化学习，统一认识，加强信息解读，不断推进我局政务公开规范、政府政策透明、政务服务高效，推进信息公开工作，切实提升信息公开的效果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正宁县乡村振兴局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正宁县乡村振兴局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年12月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0日印发</w:t>
      </w:r>
    </w:p>
    <w:p>
      <w:pPr>
        <w:ind w:firstLine="7040" w:firstLineChars="2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（共印5份）</w:t>
      </w:r>
    </w:p>
    <w:sectPr>
      <w:footerReference r:id="rId3" w:type="default"/>
      <w:pgSz w:w="11906" w:h="16838"/>
      <w:pgMar w:top="1701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YTUyYzc2MWVjZTZjYmU2YWJiOWVhOWFkMGMyZDIifQ=="/>
  </w:docVars>
  <w:rsids>
    <w:rsidRoot w:val="39DF1308"/>
    <w:rsid w:val="01D05220"/>
    <w:rsid w:val="02A04860"/>
    <w:rsid w:val="04776405"/>
    <w:rsid w:val="04BD14C3"/>
    <w:rsid w:val="05F9301F"/>
    <w:rsid w:val="06E82AD4"/>
    <w:rsid w:val="0ABF5BB0"/>
    <w:rsid w:val="0ACA0ADF"/>
    <w:rsid w:val="0BA20D1D"/>
    <w:rsid w:val="0D711CBF"/>
    <w:rsid w:val="0EAD2BF9"/>
    <w:rsid w:val="0ED8655B"/>
    <w:rsid w:val="11304DFF"/>
    <w:rsid w:val="141D51CF"/>
    <w:rsid w:val="1532794F"/>
    <w:rsid w:val="193E7E19"/>
    <w:rsid w:val="19C66A1A"/>
    <w:rsid w:val="1CB63927"/>
    <w:rsid w:val="1FDD0B6D"/>
    <w:rsid w:val="21717AB6"/>
    <w:rsid w:val="23064403"/>
    <w:rsid w:val="235A7381"/>
    <w:rsid w:val="255614AE"/>
    <w:rsid w:val="25787665"/>
    <w:rsid w:val="26225E41"/>
    <w:rsid w:val="27117D71"/>
    <w:rsid w:val="28423564"/>
    <w:rsid w:val="2C8B4EAD"/>
    <w:rsid w:val="304F56F9"/>
    <w:rsid w:val="32CA4799"/>
    <w:rsid w:val="34974F88"/>
    <w:rsid w:val="34D9045E"/>
    <w:rsid w:val="3561247D"/>
    <w:rsid w:val="38435C4F"/>
    <w:rsid w:val="39A26372"/>
    <w:rsid w:val="39DF1308"/>
    <w:rsid w:val="3F632656"/>
    <w:rsid w:val="409D6CDF"/>
    <w:rsid w:val="40C13736"/>
    <w:rsid w:val="428B3D82"/>
    <w:rsid w:val="47CB6FAC"/>
    <w:rsid w:val="49580376"/>
    <w:rsid w:val="4CC6518A"/>
    <w:rsid w:val="506B4FC2"/>
    <w:rsid w:val="511E6A63"/>
    <w:rsid w:val="52097B93"/>
    <w:rsid w:val="52CE67A6"/>
    <w:rsid w:val="53D60182"/>
    <w:rsid w:val="56340F05"/>
    <w:rsid w:val="56A23489"/>
    <w:rsid w:val="586E702A"/>
    <w:rsid w:val="58A2435B"/>
    <w:rsid w:val="5F480607"/>
    <w:rsid w:val="63BA18FD"/>
    <w:rsid w:val="67DB1159"/>
    <w:rsid w:val="67F26D04"/>
    <w:rsid w:val="687B6875"/>
    <w:rsid w:val="6BD53351"/>
    <w:rsid w:val="6BF909D4"/>
    <w:rsid w:val="72957E45"/>
    <w:rsid w:val="744C2E03"/>
    <w:rsid w:val="75D21A46"/>
    <w:rsid w:val="761F03BC"/>
    <w:rsid w:val="76D777CE"/>
    <w:rsid w:val="780D1C83"/>
    <w:rsid w:val="789079B6"/>
    <w:rsid w:val="7A1410B2"/>
    <w:rsid w:val="7C3C25B5"/>
    <w:rsid w:val="7E280463"/>
    <w:rsid w:val="7FD6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0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1529</Words>
  <Characters>1602</Characters>
  <Lines>0</Lines>
  <Paragraphs>0</Paragraphs>
  <TotalTime>22</TotalTime>
  <ScaleCrop>false</ScaleCrop>
  <LinksUpToDate>false</LinksUpToDate>
  <CharactersWithSpaces>1857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2021-05-17T03:25:00Z</dcterms:created>
  <dc:creator>功夫熊猫</dc:creator>
  <cp:lastModifiedBy>Administrator</cp:lastModifiedBy>
  <cp:lastPrinted>2021-12-23T07:45:00Z</cp:lastPrinted>
  <dcterms:modified xsi:type="dcterms:W3CDTF">2023-01-30T03:55:57Z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9509274AB3994B68893F27D36318D16C</vt:lpwstr>
  </property>
</Properties>
</file>