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634" w:tblpY="1758"/>
        <w:tblOverlap w:val="never"/>
        <w:tblW w:w="15557" w:type="dxa"/>
        <w:tblInd w:w="0" w:type="dxa"/>
        <w:tblLayout w:type="fixed"/>
        <w:tblCellMar>
          <w:top w:w="15" w:type="dxa"/>
          <w:left w:w="15" w:type="dxa"/>
          <w:bottom w:w="15" w:type="dxa"/>
          <w:right w:w="15" w:type="dxa"/>
        </w:tblCellMar>
      </w:tblPr>
      <w:tblGrid>
        <w:gridCol w:w="361"/>
        <w:gridCol w:w="483"/>
        <w:gridCol w:w="483"/>
        <w:gridCol w:w="487"/>
        <w:gridCol w:w="483"/>
        <w:gridCol w:w="485"/>
        <w:gridCol w:w="483"/>
        <w:gridCol w:w="483"/>
        <w:gridCol w:w="487"/>
        <w:gridCol w:w="483"/>
        <w:gridCol w:w="485"/>
        <w:gridCol w:w="483"/>
        <w:gridCol w:w="483"/>
        <w:gridCol w:w="487"/>
        <w:gridCol w:w="483"/>
        <w:gridCol w:w="485"/>
        <w:gridCol w:w="483"/>
        <w:gridCol w:w="483"/>
        <w:gridCol w:w="483"/>
        <w:gridCol w:w="487"/>
        <w:gridCol w:w="484"/>
        <w:gridCol w:w="488"/>
        <w:gridCol w:w="484"/>
        <w:gridCol w:w="484"/>
        <w:gridCol w:w="484"/>
        <w:gridCol w:w="489"/>
        <w:gridCol w:w="484"/>
        <w:gridCol w:w="488"/>
        <w:gridCol w:w="547"/>
        <w:gridCol w:w="517"/>
        <w:gridCol w:w="504"/>
        <w:gridCol w:w="544"/>
      </w:tblGrid>
      <w:tr>
        <w:tblPrEx>
          <w:tblCellMar>
            <w:top w:w="15" w:type="dxa"/>
            <w:left w:w="15" w:type="dxa"/>
            <w:bottom w:w="15" w:type="dxa"/>
            <w:right w:w="15" w:type="dxa"/>
          </w:tblCellMar>
        </w:tblPrEx>
        <w:trPr>
          <w:trHeight w:val="496" w:hRule="atLeast"/>
        </w:trPr>
        <w:tc>
          <w:tcPr>
            <w:tcW w:w="361" w:type="dxa"/>
            <w:vMerge w:val="restart"/>
            <w:tcBorders>
              <w:top w:val="single" w:color="000000" w:sz="4" w:space="0"/>
              <w:left w:val="single" w:color="000000" w:sz="4" w:space="0"/>
              <w:right w:val="single" w:color="000000" w:sz="4" w:space="0"/>
            </w:tcBorders>
            <w:vAlign w:val="center"/>
          </w:tcPr>
          <w:p>
            <w:pPr>
              <w:widowControl/>
              <w:spacing w:line="260" w:lineRule="exact"/>
              <w:jc w:val="both"/>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车型</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类别</w:t>
            </w:r>
          </w:p>
        </w:tc>
        <w:tc>
          <w:tcPr>
            <w:tcW w:w="2421" w:type="dxa"/>
            <w:gridSpan w:val="5"/>
            <w:vMerge w:val="restart"/>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道路临时停车位</w:t>
            </w:r>
          </w:p>
        </w:tc>
        <w:tc>
          <w:tcPr>
            <w:tcW w:w="4842"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公共停车场</w:t>
            </w:r>
          </w:p>
        </w:tc>
        <w:tc>
          <w:tcPr>
            <w:tcW w:w="5821" w:type="dxa"/>
            <w:gridSpan w:val="12"/>
            <w:tcBorders>
              <w:top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住宅小区停车场</w:t>
            </w:r>
            <w:r>
              <w:rPr>
                <w:rFonts w:hint="eastAsia" w:asciiTheme="minorEastAsia" w:hAnsiTheme="minorEastAsia" w:cstheme="minorEastAsia"/>
                <w:bCs/>
                <w:color w:val="000000" w:themeColor="text1"/>
                <w:kern w:val="0"/>
                <w:sz w:val="24"/>
                <w:szCs w:val="24"/>
                <w:lang w:eastAsia="zh-CN"/>
                <w14:textFill>
                  <w14:solidFill>
                    <w14:schemeClr w14:val="tx1"/>
                  </w14:solidFill>
                </w14:textFill>
              </w:rPr>
              <w:t>（不具备协商条件的）</w:t>
            </w:r>
          </w:p>
        </w:tc>
        <w:tc>
          <w:tcPr>
            <w:tcW w:w="2112" w:type="dxa"/>
            <w:gridSpan w:val="4"/>
            <w:tcBorders>
              <w:top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实行政府指导价的停车场</w:t>
            </w:r>
          </w:p>
        </w:tc>
      </w:tr>
      <w:tr>
        <w:tblPrEx>
          <w:tblCellMar>
            <w:top w:w="15" w:type="dxa"/>
            <w:left w:w="15" w:type="dxa"/>
            <w:bottom w:w="15" w:type="dxa"/>
            <w:right w:w="15" w:type="dxa"/>
          </w:tblCellMar>
        </w:tblPrEx>
        <w:trPr>
          <w:trHeight w:val="851" w:hRule="atLeast"/>
        </w:trPr>
        <w:tc>
          <w:tcPr>
            <w:tcW w:w="361" w:type="dxa"/>
            <w:vMerge w:val="continue"/>
            <w:tcBorders>
              <w:left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p>
        </w:tc>
        <w:tc>
          <w:tcPr>
            <w:tcW w:w="2421" w:type="dxa"/>
            <w:gridSpan w:val="5"/>
            <w:vMerge w:val="continue"/>
            <w:tcBorders>
              <w:left w:val="single" w:color="000000" w:sz="4" w:space="0"/>
              <w:bottom w:val="single" w:color="000000" w:sz="4" w:space="0"/>
              <w:right w:val="single" w:color="000000" w:sz="4" w:space="0"/>
            </w:tcBorders>
            <w:vAlign w:val="center"/>
          </w:tcPr>
          <w:p>
            <w:pPr>
              <w:widowControl/>
              <w:spacing w:line="260" w:lineRule="exact"/>
              <w:jc w:val="left"/>
              <w:rPr>
                <w:rFonts w:hint="default" w:ascii="Times New Roman" w:hAnsi="Times New Roman" w:eastAsia="黑体" w:cs="Times New Roman"/>
                <w:bCs/>
                <w:color w:val="000000" w:themeColor="text1"/>
                <w:kern w:val="0"/>
                <w:sz w:val="18"/>
                <w:szCs w:val="18"/>
                <w14:textFill>
                  <w14:solidFill>
                    <w14:schemeClr w14:val="tx1"/>
                  </w14:solidFill>
                </w14:textFill>
              </w:rPr>
            </w:pPr>
          </w:p>
        </w:tc>
        <w:tc>
          <w:tcPr>
            <w:tcW w:w="242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露天停车场</w:t>
            </w:r>
          </w:p>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（含立体停车库、楼）</w:t>
            </w:r>
          </w:p>
        </w:tc>
        <w:tc>
          <w:tcPr>
            <w:tcW w:w="242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地下停车场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（含立体停车库、楼）</w:t>
            </w:r>
          </w:p>
        </w:tc>
        <w:tc>
          <w:tcPr>
            <w:tcW w:w="2908" w:type="dxa"/>
            <w:gridSpan w:val="6"/>
            <w:tcBorders>
              <w:top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业主共用（有）露天停车位</w:t>
            </w:r>
          </w:p>
        </w:tc>
        <w:tc>
          <w:tcPr>
            <w:tcW w:w="291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普通车库、规划的地下停车场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（含人防工程）</w:t>
            </w:r>
          </w:p>
        </w:tc>
        <w:tc>
          <w:tcPr>
            <w:tcW w:w="211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露天停车场</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地下停车场</w:t>
            </w:r>
          </w:p>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（含立体停车库、楼）</w:t>
            </w:r>
          </w:p>
        </w:tc>
      </w:tr>
      <w:tr>
        <w:tblPrEx>
          <w:tblCellMar>
            <w:top w:w="15" w:type="dxa"/>
            <w:left w:w="15" w:type="dxa"/>
            <w:bottom w:w="15" w:type="dxa"/>
            <w:right w:w="15" w:type="dxa"/>
          </w:tblCellMar>
        </w:tblPrEx>
        <w:trPr>
          <w:trHeight w:val="556" w:hRule="atLeast"/>
        </w:trPr>
        <w:tc>
          <w:tcPr>
            <w:tcW w:w="361" w:type="dxa"/>
            <w:vMerge w:val="continue"/>
            <w:tcBorders>
              <w:left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日间收费</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8:00-2</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:00</w:t>
            </w:r>
          </w:p>
        </w:tc>
        <w:tc>
          <w:tcPr>
            <w:tcW w:w="483" w:type="dxa"/>
            <w:vMerge w:val="restart"/>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夜间</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收费</w:t>
            </w:r>
          </w:p>
        </w:tc>
        <w:tc>
          <w:tcPr>
            <w:tcW w:w="4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连续24小时</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日间</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收费</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8:00-2</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:00</w:t>
            </w:r>
          </w:p>
        </w:tc>
        <w:tc>
          <w:tcPr>
            <w:tcW w:w="4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夜间</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收费</w:t>
            </w:r>
          </w:p>
        </w:tc>
        <w:tc>
          <w:tcPr>
            <w:tcW w:w="4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连续</w:t>
            </w:r>
          </w:p>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24小时</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日间</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收费</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8:00-2</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:00</w:t>
            </w:r>
          </w:p>
        </w:tc>
        <w:tc>
          <w:tcPr>
            <w:tcW w:w="4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夜间</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收费</w:t>
            </w:r>
          </w:p>
        </w:tc>
        <w:tc>
          <w:tcPr>
            <w:tcW w:w="4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连续24小时</w:t>
            </w:r>
          </w:p>
        </w:tc>
        <w:tc>
          <w:tcPr>
            <w:tcW w:w="1936" w:type="dxa"/>
            <w:gridSpan w:val="4"/>
            <w:tcBorders>
              <w:top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计时收费</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包月最</w:t>
            </w:r>
          </w:p>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高限价</w:t>
            </w:r>
          </w:p>
        </w:tc>
        <w:tc>
          <w:tcPr>
            <w:tcW w:w="194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计时收费</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包月最</w:t>
            </w:r>
          </w:p>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高限价</w:t>
            </w:r>
          </w:p>
        </w:tc>
        <w:tc>
          <w:tcPr>
            <w:tcW w:w="211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计时收费</w:t>
            </w:r>
          </w:p>
        </w:tc>
      </w:tr>
      <w:tr>
        <w:tblPrEx>
          <w:tblCellMar>
            <w:top w:w="15" w:type="dxa"/>
            <w:left w:w="15" w:type="dxa"/>
            <w:bottom w:w="15" w:type="dxa"/>
            <w:right w:w="15" w:type="dxa"/>
          </w:tblCellMar>
        </w:tblPrEx>
        <w:trPr>
          <w:trHeight w:val="2002" w:hRule="atLeast"/>
        </w:trPr>
        <w:tc>
          <w:tcPr>
            <w:tcW w:w="361" w:type="dxa"/>
            <w:vMerge w:val="continue"/>
            <w:tcBorders>
              <w:left w:val="single" w:color="000000" w:sz="4" w:space="0"/>
              <w:bottom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半</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小</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时内</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（含）</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半</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小</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以上</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1小</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时内</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（含）</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1小时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以上</w:t>
            </w:r>
          </w:p>
        </w:tc>
        <w:tc>
          <w:tcPr>
            <w:tcW w:w="483" w:type="dxa"/>
            <w:vMerge w:val="continue"/>
            <w:tcBorders>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半小</w:t>
            </w:r>
          </w:p>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时内（含）</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半小</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时以上1小时以内（含）</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1小时</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以上</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t>半小时内（含）</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t>半小</w:t>
            </w: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t>时以上2小时以内（含）</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t>2小时</w:t>
            </w: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t>以上</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p>
        </w:tc>
        <w:tc>
          <w:tcPr>
            <w:tcW w:w="483" w:type="dxa"/>
            <w:tcBorders>
              <w:top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半小时内（含）</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半小</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时以上2小时以内（含）</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2小时</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以上</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连续</w:t>
            </w:r>
          </w:p>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24小时</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车位</w:t>
            </w:r>
          </w:p>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使用费</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停车</w:t>
            </w:r>
          </w:p>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服务费</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半小时内（含）</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半小</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时以上2小时以内（含）</w:t>
            </w:r>
          </w:p>
        </w:tc>
        <w:tc>
          <w:tcPr>
            <w:tcW w:w="484"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2小时</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以上</w:t>
            </w:r>
          </w:p>
        </w:tc>
        <w:tc>
          <w:tcPr>
            <w:tcW w:w="489"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连续</w:t>
            </w:r>
          </w:p>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24小时</w:t>
            </w:r>
          </w:p>
        </w:tc>
        <w:tc>
          <w:tcPr>
            <w:tcW w:w="484"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车位</w:t>
            </w:r>
          </w:p>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使用费</w:t>
            </w:r>
          </w:p>
        </w:tc>
        <w:tc>
          <w:tcPr>
            <w:tcW w:w="488"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停车</w:t>
            </w:r>
          </w:p>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服务费</w:t>
            </w:r>
          </w:p>
        </w:tc>
        <w:tc>
          <w:tcPr>
            <w:tcW w:w="547"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半小</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时内（含）</w:t>
            </w:r>
          </w:p>
        </w:tc>
        <w:tc>
          <w:tcPr>
            <w:tcW w:w="517"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半</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小时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以上</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1小时内（含）</w:t>
            </w:r>
          </w:p>
        </w:tc>
        <w:tc>
          <w:tcPr>
            <w:tcW w:w="504"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1小时以上</w:t>
            </w:r>
          </w:p>
        </w:tc>
        <w:tc>
          <w:tcPr>
            <w:tcW w:w="544"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连续</w:t>
            </w:r>
          </w:p>
          <w:p>
            <w:pPr>
              <w:widowControl/>
              <w:spacing w:line="260" w:lineRule="exact"/>
              <w:jc w:val="cente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24小时</w:t>
            </w:r>
          </w:p>
        </w:tc>
      </w:tr>
      <w:tr>
        <w:tblPrEx>
          <w:tblCellMar>
            <w:top w:w="15" w:type="dxa"/>
            <w:left w:w="15" w:type="dxa"/>
            <w:bottom w:w="15" w:type="dxa"/>
            <w:right w:w="15" w:type="dxa"/>
          </w:tblCellMar>
        </w:tblPrEx>
        <w:trPr>
          <w:trHeight w:val="1171" w:hRule="atLeast"/>
        </w:trPr>
        <w:tc>
          <w:tcPr>
            <w:tcW w:w="36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小</w:t>
            </w:r>
          </w:p>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型</w:t>
            </w:r>
          </w:p>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车</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cstheme="minorEastAsia"/>
                <w:color w:val="000000" w:themeColor="text1"/>
                <w:kern w:val="0"/>
                <w:sz w:val="21"/>
                <w:szCs w:val="21"/>
                <w:lang w:eastAsia="zh-CN"/>
                <w14:textFill>
                  <w14:solidFill>
                    <w14:schemeClr w14:val="tx1"/>
                  </w14:solidFill>
                </w14:textFill>
              </w:rPr>
              <w:t>免费</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不设最高限价</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最高</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最高</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9</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最高</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20</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0元</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4" w:type="dxa"/>
            <w:tcBorders>
              <w:top w:val="single" w:color="000000" w:sz="4" w:space="0"/>
              <w:left w:val="single" w:color="000000" w:sz="4" w:space="0"/>
              <w:bottom w:val="single" w:color="000000"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48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最高</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100</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2</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0元</w:t>
            </w:r>
          </w:p>
        </w:tc>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2元</w:t>
            </w:r>
          </w:p>
        </w:tc>
        <w:tc>
          <w:tcPr>
            <w:tcW w:w="50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5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最高</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不超过</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15</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r>
      <w:tr>
        <w:tblPrEx>
          <w:tblCellMar>
            <w:top w:w="15" w:type="dxa"/>
            <w:left w:w="15" w:type="dxa"/>
            <w:bottom w:w="15" w:type="dxa"/>
            <w:right w:w="15" w:type="dxa"/>
          </w:tblCellMar>
        </w:tblPrEx>
        <w:trPr>
          <w:trHeight w:val="1007" w:hRule="atLeast"/>
        </w:trPr>
        <w:tc>
          <w:tcPr>
            <w:tcW w:w="36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大</w:t>
            </w:r>
          </w:p>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型</w:t>
            </w:r>
          </w:p>
          <w:p>
            <w:pPr>
              <w:widowControl/>
              <w:spacing w:line="26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车</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3</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元/次</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最高</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15</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免费</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3</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加收1</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小时</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最高</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br w:type="textWrapping"/>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2</w:t>
            </w:r>
            <w:r>
              <w:rPr>
                <w:rFonts w:hint="eastAsia" w:asciiTheme="minorEastAsia" w:hAnsiTheme="minorEastAsia" w:cstheme="minorEastAsia"/>
                <w:bCs/>
                <w:color w:val="000000" w:themeColor="text1"/>
                <w:kern w:val="0"/>
                <w:sz w:val="21"/>
                <w:szCs w:val="21"/>
                <w:lang w:val="en-US" w:eastAsia="zh-CN"/>
                <w14:textFill>
                  <w14:solidFill>
                    <w14:schemeClr w14:val="tx1"/>
                  </w14:solidFill>
                </w14:textFill>
              </w:rPr>
              <w:t>0</w:t>
            </w: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元</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8"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4"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4"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4"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9"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4"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488"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547"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517"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504"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c>
          <w:tcPr>
            <w:tcW w:w="544" w:type="dxa"/>
            <w:tcBorders>
              <w:top w:val="single" w:color="000000" w:sz="4" w:space="0"/>
              <w:left w:val="single" w:color="000000" w:sz="4" w:space="0"/>
              <w:right w:val="single" w:color="000000" w:sz="4" w:space="0"/>
            </w:tcBorders>
            <w:vAlign w:val="center"/>
          </w:tcPr>
          <w:p>
            <w:pPr>
              <w:widowControl/>
              <w:spacing w:line="260" w:lineRule="exact"/>
              <w:jc w:val="center"/>
              <w:rPr>
                <w:rFonts w:hint="eastAsia" w:asciiTheme="minorEastAsia" w:hAnsiTheme="minorEastAsia" w:cstheme="minorEastAsia"/>
                <w:bCs/>
                <w:color w:val="000000" w:themeColor="text1"/>
                <w:kern w:val="0"/>
                <w:sz w:val="21"/>
                <w:szCs w:val="21"/>
                <w:lang w:eastAsia="zh-CN"/>
                <w14:textFill>
                  <w14:solidFill>
                    <w14:schemeClr w14:val="tx1"/>
                  </w14:solidFill>
                </w14:textFill>
              </w:rPr>
            </w:pPr>
            <w:r>
              <w:rPr>
                <w:rFonts w:hint="eastAsia" w:asciiTheme="minorEastAsia" w:hAnsiTheme="minorEastAsia" w:cstheme="minorEastAsia"/>
                <w:bCs/>
                <w:color w:val="000000" w:themeColor="text1"/>
                <w:kern w:val="0"/>
                <w:sz w:val="21"/>
                <w:szCs w:val="21"/>
                <w:lang w:eastAsia="zh-CN"/>
                <w14:textFill>
                  <w14:solidFill>
                    <w14:schemeClr w14:val="tx1"/>
                  </w14:solidFill>
                </w14:textFill>
              </w:rPr>
              <w:t>/</w:t>
            </w:r>
          </w:p>
        </w:tc>
      </w:tr>
      <w:tr>
        <w:tblPrEx>
          <w:tblCellMar>
            <w:top w:w="15" w:type="dxa"/>
            <w:left w:w="15" w:type="dxa"/>
            <w:bottom w:w="15" w:type="dxa"/>
            <w:right w:w="15" w:type="dxa"/>
          </w:tblCellMar>
        </w:tblPrEx>
        <w:trPr>
          <w:trHeight w:val="2657" w:hRule="atLeast"/>
        </w:trPr>
        <w:tc>
          <w:tcPr>
            <w:tcW w:w="15557" w:type="dxa"/>
            <w:gridSpan w:val="32"/>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firstLine="180" w:firstLineChars="100"/>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eastAsia="zh-CN"/>
              </w:rPr>
              <w:t>说明：</w:t>
            </w:r>
            <w:r>
              <w:rPr>
                <w:rFonts w:hint="eastAsia" w:asciiTheme="minorEastAsia" w:hAnsiTheme="minorEastAsia" w:eastAsiaTheme="minorEastAsia" w:cstheme="minorEastAsia"/>
                <w:color w:val="000000"/>
                <w:kern w:val="0"/>
                <w:sz w:val="18"/>
                <w:szCs w:val="18"/>
              </w:rPr>
              <w:t>1.时间段划分：日间：08时至2</w:t>
            </w:r>
            <w:r>
              <w:rPr>
                <w:rFonts w:hint="eastAsia" w:asciiTheme="minorEastAsia" w:hAnsiTheme="minorEastAsia" w:cstheme="minorEastAsia"/>
                <w:color w:val="000000"/>
                <w:kern w:val="0"/>
                <w:sz w:val="18"/>
                <w:szCs w:val="18"/>
                <w:lang w:val="en-US" w:eastAsia="zh-CN"/>
              </w:rPr>
              <w:t>2</w:t>
            </w:r>
            <w:r>
              <w:rPr>
                <w:rFonts w:hint="eastAsia" w:asciiTheme="minorEastAsia" w:hAnsiTheme="minorEastAsia" w:eastAsiaTheme="minorEastAsia" w:cstheme="minorEastAsia"/>
                <w:color w:val="000000"/>
                <w:kern w:val="0"/>
                <w:sz w:val="18"/>
                <w:szCs w:val="18"/>
              </w:rPr>
              <w:t>时（含），夜间：2</w:t>
            </w:r>
            <w:r>
              <w:rPr>
                <w:rFonts w:hint="eastAsia" w:asciiTheme="minorEastAsia" w:hAnsiTheme="minorEastAsia" w:cstheme="minorEastAsia"/>
                <w:color w:val="000000"/>
                <w:kern w:val="0"/>
                <w:sz w:val="18"/>
                <w:szCs w:val="18"/>
                <w:lang w:val="en-US" w:eastAsia="zh-CN"/>
              </w:rPr>
              <w:t>2</w:t>
            </w:r>
            <w:r>
              <w:rPr>
                <w:rFonts w:hint="eastAsia" w:asciiTheme="minorEastAsia" w:hAnsiTheme="minorEastAsia" w:eastAsiaTheme="minorEastAsia" w:cstheme="minorEastAsia"/>
                <w:color w:val="000000"/>
                <w:kern w:val="0"/>
                <w:sz w:val="18"/>
                <w:szCs w:val="18"/>
              </w:rPr>
              <w:t>时至次日08时。</w:t>
            </w:r>
          </w:p>
          <w:p>
            <w:pPr>
              <w:widowControl/>
              <w:spacing w:line="280" w:lineRule="exact"/>
              <w:ind w:firstLine="720" w:firstLineChars="400"/>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2.</w:t>
            </w:r>
            <w:r>
              <w:rPr>
                <w:rFonts w:hint="eastAsia" w:asciiTheme="minorEastAsia" w:hAnsiTheme="minorEastAsia" w:eastAsiaTheme="minorEastAsia" w:cstheme="minorEastAsia"/>
                <w:color w:val="000000"/>
                <w:kern w:val="0"/>
                <w:sz w:val="18"/>
                <w:szCs w:val="18"/>
              </w:rPr>
              <w:t>不足1小时的按1小时计</w:t>
            </w:r>
            <w:r>
              <w:rPr>
                <w:rFonts w:hint="eastAsia" w:asciiTheme="minorEastAsia" w:hAnsiTheme="minorEastAsia" w:cstheme="minorEastAsia"/>
                <w:color w:val="000000"/>
                <w:kern w:val="0"/>
                <w:sz w:val="18"/>
                <w:szCs w:val="18"/>
                <w:lang w:eastAsia="zh-CN"/>
              </w:rPr>
              <w:t>算</w:t>
            </w:r>
            <w:r>
              <w:rPr>
                <w:rFonts w:hint="eastAsia" w:asciiTheme="minorEastAsia" w:hAnsiTheme="minorEastAsia" w:eastAsiaTheme="minorEastAsia" w:cstheme="minorEastAsia"/>
                <w:color w:val="000000"/>
                <w:kern w:val="0"/>
                <w:sz w:val="18"/>
                <w:szCs w:val="18"/>
              </w:rPr>
              <w:t>；连续停放超过24小时重新计时、累加计费。</w:t>
            </w:r>
          </w:p>
          <w:p>
            <w:pPr>
              <w:widowControl/>
              <w:numPr>
                <w:ilvl w:val="0"/>
                <w:numId w:val="0"/>
              </w:numPr>
              <w:spacing w:line="280" w:lineRule="exact"/>
              <w:ind w:leftChars="0" w:firstLine="720" w:firstLineChars="400"/>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住宅小区业主共用（有）露天停车场先满足小区业主停车需求，再对外开放收费。</w:t>
            </w:r>
          </w:p>
          <w:p>
            <w:pPr>
              <w:widowControl/>
              <w:numPr>
                <w:ilvl w:val="0"/>
                <w:numId w:val="0"/>
              </w:numPr>
              <w:spacing w:line="280" w:lineRule="exact"/>
              <w:ind w:leftChars="0" w:firstLine="720" w:firstLineChars="400"/>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4.</w:t>
            </w:r>
            <w:r>
              <w:rPr>
                <w:rFonts w:hint="eastAsia" w:asciiTheme="minorEastAsia" w:hAnsiTheme="minorEastAsia" w:eastAsiaTheme="minorEastAsia" w:cstheme="minorEastAsia"/>
                <w:color w:val="000000"/>
                <w:kern w:val="0"/>
                <w:sz w:val="18"/>
                <w:szCs w:val="18"/>
              </w:rPr>
              <w:t>住宅小区内属业主产权的停车泊位只收取停车服务费。</w:t>
            </w:r>
          </w:p>
          <w:p>
            <w:pPr>
              <w:widowControl/>
              <w:numPr>
                <w:ilvl w:val="0"/>
                <w:numId w:val="0"/>
              </w:numPr>
              <w:spacing w:line="280" w:lineRule="exact"/>
              <w:ind w:leftChars="0" w:firstLine="720" w:firstLineChars="400"/>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5.</w:t>
            </w:r>
            <w:r>
              <w:rPr>
                <w:rFonts w:hint="eastAsia" w:asciiTheme="minorEastAsia" w:hAnsiTheme="minorEastAsia" w:eastAsiaTheme="minorEastAsia" w:cstheme="minorEastAsia"/>
                <w:color w:val="000000"/>
                <w:kern w:val="0"/>
                <w:sz w:val="18"/>
                <w:szCs w:val="18"/>
              </w:rPr>
              <w:t>住宅小区机动车停放服务收费实行包季、包年的，可适当下浮。</w:t>
            </w:r>
          </w:p>
          <w:p>
            <w:pPr>
              <w:widowControl/>
              <w:numPr>
                <w:ilvl w:val="0"/>
                <w:numId w:val="0"/>
              </w:numPr>
              <w:spacing w:line="280" w:lineRule="exact"/>
              <w:ind w:left="357" w:leftChars="170" w:firstLine="360" w:firstLineChars="200"/>
              <w:rPr>
                <w:rFonts w:hint="eastAsia" w:asciiTheme="minorEastAsia" w:hAnsi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6.</w:t>
            </w:r>
            <w:r>
              <w:rPr>
                <w:rFonts w:hint="eastAsia" w:asciiTheme="minorEastAsia" w:hAnsiTheme="minorEastAsia" w:eastAsiaTheme="minorEastAsia" w:cstheme="minorEastAsia"/>
                <w:color w:val="000000"/>
                <w:kern w:val="0"/>
                <w:sz w:val="18"/>
                <w:szCs w:val="18"/>
              </w:rPr>
              <w:t>实行政府指导价管理的停车场类型:是指国家机关、社会团体及其他公益、公用企事业单位（医院、学校、博物馆、殡仪馆、图书馆等）面向公众开放的停车设施及其他具有自然垄断经营和公益性特征的停车设施。</w:t>
            </w:r>
            <w:r>
              <w:rPr>
                <w:rFonts w:hint="eastAsia" w:asciiTheme="minorEastAsia" w:hAnsiTheme="minorEastAsia" w:cstheme="minorEastAsia"/>
                <w:color w:val="000000"/>
                <w:kern w:val="0"/>
                <w:sz w:val="18"/>
                <w:szCs w:val="18"/>
                <w:lang w:eastAsia="zh-CN"/>
              </w:rPr>
              <w:t>执行政府指导价的医院车位使用人持当日医院票据</w:t>
            </w:r>
            <w:r>
              <w:rPr>
                <w:rFonts w:hint="eastAsia" w:asciiTheme="minorEastAsia" w:hAnsiTheme="minorEastAsia" w:cstheme="minorEastAsia"/>
                <w:color w:val="000000"/>
                <w:kern w:val="0"/>
                <w:sz w:val="18"/>
                <w:szCs w:val="18"/>
                <w:lang w:val="en-US" w:eastAsia="zh-CN"/>
              </w:rPr>
              <w:t>4小时内（含）免费，4小时以上每小时加收1元，每天不超过8元。</w:t>
            </w:r>
          </w:p>
          <w:p>
            <w:pPr>
              <w:widowControl/>
              <w:numPr>
                <w:ilvl w:val="0"/>
                <w:numId w:val="0"/>
              </w:numPr>
              <w:spacing w:line="280" w:lineRule="exact"/>
              <w:ind w:leftChars="0" w:firstLine="720" w:firstLineChars="400"/>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7.</w:t>
            </w:r>
            <w:r>
              <w:rPr>
                <w:rFonts w:hint="eastAsia" w:asciiTheme="minorEastAsia" w:hAnsiTheme="minorEastAsia" w:eastAsiaTheme="minorEastAsia" w:cstheme="minorEastAsia"/>
                <w:color w:val="000000"/>
                <w:kern w:val="0"/>
                <w:sz w:val="18"/>
                <w:szCs w:val="18"/>
              </w:rPr>
              <w:t>实行市场调节价的停车设施可参照上述相应区域收费标准执行。</w:t>
            </w:r>
          </w:p>
          <w:p>
            <w:pPr>
              <w:widowControl/>
              <w:numPr>
                <w:ilvl w:val="0"/>
                <w:numId w:val="0"/>
              </w:numPr>
              <w:spacing w:line="280" w:lineRule="exact"/>
              <w:ind w:leftChars="0" w:firstLine="720" w:firstLineChars="400"/>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8.</w:t>
            </w:r>
            <w:r>
              <w:rPr>
                <w:rFonts w:hint="eastAsia" w:asciiTheme="minorEastAsia" w:hAnsiTheme="minorEastAsia" w:eastAsiaTheme="minorEastAsia" w:cstheme="minorEastAsia"/>
                <w:color w:val="000000"/>
                <w:kern w:val="0"/>
                <w:sz w:val="18"/>
                <w:szCs w:val="18"/>
              </w:rPr>
              <w:t>免费停放区域的“僵尸”车辆，连续停放超过72小时后，建议按照2元/小时标准收取停车费，不设上限。</w:t>
            </w:r>
          </w:p>
          <w:p>
            <w:pPr>
              <w:widowControl/>
              <w:numPr>
                <w:ilvl w:val="0"/>
                <w:numId w:val="0"/>
              </w:numPr>
              <w:spacing w:line="280" w:lineRule="exact"/>
              <w:ind w:leftChars="0" w:firstLine="720" w:firstLineChars="400"/>
              <w:rPr>
                <w:rFonts w:hint="default"/>
              </w:rPr>
            </w:pPr>
            <w:r>
              <w:rPr>
                <w:rFonts w:hint="eastAsia" w:asciiTheme="minorEastAsia" w:hAnsiTheme="minorEastAsia" w:eastAsiaTheme="minorEastAsia" w:cstheme="minorEastAsia"/>
                <w:color w:val="000000"/>
                <w:kern w:val="0"/>
                <w:sz w:val="18"/>
                <w:szCs w:val="18"/>
                <w:lang w:val="en-US" w:eastAsia="zh-CN"/>
              </w:rPr>
              <w:t>9.</w:t>
            </w:r>
            <w:r>
              <w:rPr>
                <w:rFonts w:hint="eastAsia" w:asciiTheme="minorEastAsia" w:hAnsiTheme="minorEastAsia" w:cstheme="minorEastAsia"/>
                <w:color w:val="000000"/>
                <w:kern w:val="0"/>
                <w:sz w:val="18"/>
                <w:szCs w:val="18"/>
                <w:lang w:val="en-US" w:eastAsia="zh-CN"/>
              </w:rPr>
              <w:t>执行计时收费标准的</w:t>
            </w:r>
            <w:r>
              <w:rPr>
                <w:rFonts w:hint="eastAsia" w:asciiTheme="minorEastAsia" w:hAnsiTheme="minorEastAsia" w:eastAsiaTheme="minorEastAsia" w:cstheme="minorEastAsia"/>
                <w:color w:val="000000"/>
                <w:kern w:val="0"/>
                <w:sz w:val="18"/>
                <w:szCs w:val="18"/>
                <w:lang w:val="en-US" w:eastAsia="zh-CN"/>
              </w:rPr>
              <w:t>新能源汽车停车服务收费按半价执行。</w:t>
            </w:r>
          </w:p>
        </w:tc>
      </w:tr>
    </w:tbl>
    <w:p>
      <w:pPr>
        <w:pStyle w:val="5"/>
        <w:shd w:val="clear" w:color="070000" w:fill="FFFFFF"/>
        <w:spacing w:beforeLines="50" w:afterLines="50" w:line="600" w:lineRule="exact"/>
        <w:jc w:val="center"/>
        <w:rPr>
          <w:rFonts w:hint="default" w:ascii="Times New Roman" w:hAnsi="Times New Roman" w:cs="Times New Roman"/>
        </w:rPr>
        <w:sectPr>
          <w:footerReference r:id="rId3" w:type="default"/>
          <w:pgSz w:w="16838" w:h="11906" w:orient="landscape"/>
          <w:pgMar w:top="794" w:right="454" w:bottom="567" w:left="454" w:header="851" w:footer="227" w:gutter="0"/>
          <w:pgNumType w:fmt="numberInDash"/>
          <w:cols w:space="0" w:num="1"/>
          <w:rtlGutter w:val="0"/>
          <w:docGrid w:type="lines" w:linePitch="312" w:charSpace="0"/>
        </w:sectPr>
      </w:pPr>
      <w:r>
        <w:rPr>
          <w:sz w:val="44"/>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-173355</wp:posOffset>
                </wp:positionV>
                <wp:extent cx="754380" cy="472440"/>
                <wp:effectExtent l="0" t="0" r="7620" b="10160"/>
                <wp:wrapNone/>
                <wp:docPr id="3" name="文本框 3"/>
                <wp:cNvGraphicFramePr/>
                <a:graphic xmlns:a="http://schemas.openxmlformats.org/drawingml/2006/main">
                  <a:graphicData uri="http://schemas.microsoft.com/office/word/2010/wordprocessingShape">
                    <wps:wsp>
                      <wps:cNvSpPr txBox="1"/>
                      <wps:spPr>
                        <a:xfrm>
                          <a:off x="336550" y="498475"/>
                          <a:ext cx="754380" cy="472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8"/>
                                <w:szCs w:val="28"/>
                                <w:lang w:eastAsia="zh-CN"/>
                              </w:rPr>
                            </w:pPr>
                            <w:r>
                              <w:rPr>
                                <w:rFonts w:hint="eastAsia"/>
                                <w:sz w:val="28"/>
                                <w:szCs w:val="28"/>
                                <w:lang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13.65pt;height:37.2pt;width:59.4pt;z-index:251659264;mso-width-relative:page;mso-height-relative:page;" fillcolor="#FFFFFF [3201]" filled="t" stroked="f" coordsize="21600,21600" o:gfxdata="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F7VSdQAAAAI&#10;AQAADwAAAAAAAAABACAAAAAiAAAAZHJzL2Rvd25yZXYueG1sUEsBAhQAFAAAAAgAh07iQCcR4MxZ&#10;AgAAmAQAAA4AAAAAAAAAAQAgAAAAIwEAAGRycy9lMm9Eb2MueG1sUEsFBgAAAAAGAAYAWQEAAO4F&#10;AAAAAA==&#10;">
                <v:fill on="t" focussize="0,0"/>
                <v:stroke on="f" weight="0.5pt"/>
                <v:imagedata o:title=""/>
                <o:lock v:ext="edit" aspectratio="f"/>
                <v:textbox>
                  <w:txbxContent>
                    <w:p>
                      <w:pPr>
                        <w:rPr>
                          <w:rFonts w:hint="eastAsia" w:eastAsiaTheme="minorEastAsia"/>
                          <w:sz w:val="28"/>
                          <w:szCs w:val="28"/>
                          <w:lang w:eastAsia="zh-CN"/>
                        </w:rPr>
                      </w:pPr>
                      <w:r>
                        <w:rPr>
                          <w:rFonts w:hint="eastAsia"/>
                          <w:sz w:val="28"/>
                          <w:szCs w:val="28"/>
                          <w:lang w:eastAsia="zh-CN"/>
                        </w:rPr>
                        <w:t>附件</w:t>
                      </w:r>
                    </w:p>
                  </w:txbxContent>
                </v:textbox>
              </v:shape>
            </w:pict>
          </mc:Fallback>
        </mc:AlternateContent>
      </w:r>
      <w:r>
        <w:rPr>
          <w:rFonts w:hint="eastAsia" w:ascii="Times New Roman" w:hAnsi="Times New Roman" w:eastAsia="方正小标宋简体" w:cs="Times New Roman"/>
          <w:color w:val="000000"/>
          <w:sz w:val="44"/>
          <w:szCs w:val="44"/>
          <w:lang w:eastAsia="zh-CN"/>
        </w:rPr>
        <w:t>正</w:t>
      </w:r>
      <w:r>
        <w:rPr>
          <w:rFonts w:hint="default" w:ascii="Times New Roman" w:hAnsi="Times New Roman" w:eastAsia="方正小标宋简体" w:cs="Times New Roman"/>
          <w:color w:val="000000"/>
          <w:sz w:val="44"/>
          <w:szCs w:val="44"/>
        </w:rPr>
        <w:t>宁县机动车停放服务收费标准</w:t>
      </w:r>
      <w:r>
        <w:rPr>
          <w:rFonts w:hint="eastAsia" w:ascii="Times New Roman" w:hAnsi="Times New Roman" w:eastAsia="方正小标宋简体" w:cs="Times New Roman"/>
          <w:color w:val="000000"/>
          <w:sz w:val="44"/>
          <w:szCs w:val="44"/>
          <w:lang w:eastAsia="zh-CN"/>
        </w:rPr>
        <w:t>（试行）</w:t>
      </w:r>
    </w:p>
    <w:p>
      <w:pPr>
        <w:keepNext w:val="0"/>
        <w:keepLines w:val="0"/>
        <w:pageBreakBefore w:val="0"/>
        <w:widowControl w:val="0"/>
        <w:tabs>
          <w:tab w:val="left" w:pos="7600"/>
        </w:tabs>
        <w:kinsoku/>
        <w:wordWrap/>
        <w:overflowPunct/>
        <w:topLinePunct w:val="0"/>
        <w:autoSpaceDE/>
        <w:autoSpaceDN/>
        <w:bidi w:val="0"/>
        <w:adjustRightInd/>
        <w:snapToGrid/>
        <w:spacing w:beforeAutospacing="0" w:line="578" w:lineRule="exact"/>
        <w:ind w:left="0" w:leftChars="0" w:right="630" w:rightChars="300" w:firstLine="0" w:firstLineChars="0"/>
        <w:jc w:val="both"/>
        <w:textAlignment w:val="auto"/>
        <w:rPr>
          <w:rFonts w:hint="default" w:ascii="Times New Roman" w:hAnsi="Times New Roman" w:cs="Times New Roman"/>
          <w:lang w:val="en-US" w:eastAsia="zh-CN"/>
        </w:rPr>
      </w:pPr>
    </w:p>
    <w:p>
      <w:pPr>
        <w:rPr>
          <w:rFonts w:hint="default"/>
          <w:lang w:val="en-US" w:eastAsia="zh-CN"/>
        </w:rPr>
        <w:sectPr>
          <w:pgSz w:w="16838" w:h="11906" w:orient="landscape"/>
          <w:pgMar w:top="1800" w:right="1440" w:bottom="1800" w:left="1440" w:header="851" w:footer="992" w:gutter="0"/>
          <w:pgNumType w:fmt="numberInDash"/>
          <w:cols w:space="425" w:num="1"/>
          <w:docGrid w:type="lines" w:linePitch="312" w:charSpace="0"/>
        </w:sectPr>
      </w:pPr>
      <w:r>
        <w:rPr>
          <w:rFonts w:hint="default"/>
          <w:lang w:val="en-US" w:eastAsia="zh-CN"/>
        </w:rPr>
        <w:br w:type="page"/>
      </w:r>
      <w:bookmarkStart w:id="0" w:name="_GoBack"/>
      <w:bookmarkEnd w:id="0"/>
    </w:p>
    <w:p>
      <w:pPr>
        <w:numPr>
          <w:ilvl w:val="0"/>
          <w:numId w:val="0"/>
        </w:numPr>
        <w:rPr>
          <w:rFonts w:hint="default" w:ascii="仿宋" w:hAnsi="仿宋" w:eastAsia="仿宋" w:cs="仿宋"/>
          <w:sz w:val="32"/>
          <w:szCs w:val="32"/>
          <w:u w:val="none"/>
          <w:lang w:val="en-US" w:eastAsia="zh-CN"/>
        </w:rPr>
      </w:pPr>
    </w:p>
    <w:sectPr>
      <w:headerReference r:id="rId4" w:type="first"/>
      <w:footerReference r:id="rId7" w:type="first"/>
      <w:footerReference r:id="rId5" w:type="default"/>
      <w:footerReference r:id="rId6" w:type="even"/>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2525"/>
      <w:docPartObj>
        <w:docPartGallery w:val="autotext"/>
      </w:docPartObj>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ZTU2ZmU0MzRmMTEyZGQzZGViNTcyNmE1NjFjM2QifQ=="/>
  </w:docVars>
  <w:rsids>
    <w:rsidRoot w:val="59710280"/>
    <w:rsid w:val="028B7FEA"/>
    <w:rsid w:val="032260BD"/>
    <w:rsid w:val="03810051"/>
    <w:rsid w:val="0F052A35"/>
    <w:rsid w:val="0FB6628A"/>
    <w:rsid w:val="157623F2"/>
    <w:rsid w:val="161653A3"/>
    <w:rsid w:val="16BD5586"/>
    <w:rsid w:val="1BF60998"/>
    <w:rsid w:val="1C6C3B7B"/>
    <w:rsid w:val="1E1176E2"/>
    <w:rsid w:val="1F4370FB"/>
    <w:rsid w:val="2724795D"/>
    <w:rsid w:val="2A9E1606"/>
    <w:rsid w:val="30635FC1"/>
    <w:rsid w:val="3C104CBB"/>
    <w:rsid w:val="3F28318C"/>
    <w:rsid w:val="41A46BF0"/>
    <w:rsid w:val="44FD79BA"/>
    <w:rsid w:val="486E161D"/>
    <w:rsid w:val="48B56357"/>
    <w:rsid w:val="4A5459AC"/>
    <w:rsid w:val="4BCB1D25"/>
    <w:rsid w:val="4E835386"/>
    <w:rsid w:val="51AE0316"/>
    <w:rsid w:val="51F07EE3"/>
    <w:rsid w:val="56C53BC0"/>
    <w:rsid w:val="59710280"/>
    <w:rsid w:val="59784DEC"/>
    <w:rsid w:val="5CE60D7D"/>
    <w:rsid w:val="64B806FA"/>
    <w:rsid w:val="6B110DD0"/>
    <w:rsid w:val="6DCF51B9"/>
    <w:rsid w:val="6F890AF0"/>
    <w:rsid w:val="7AB24704"/>
    <w:rsid w:val="7CAF36C8"/>
    <w:rsid w:val="7D9B1CB5"/>
    <w:rsid w:val="7E4F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spacing w:before="100" w:beforeAutospacing="1" w:line="480" w:lineRule="auto"/>
      <w:ind w:left="420" w:leftChars="200"/>
    </w:pPr>
    <w:rPr>
      <w:rFonts w:cs="Times New Roma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0"/>
    <w:pPr>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2024-01-16T02:48:00Z</dcterms:created>
  <dc:creator>Administrator</dc:creator>
  <cp:lastModifiedBy>Administrator</cp:lastModifiedBy>
  <cp:lastPrinted>2024-02-04T01:49:00Z</cp:lastPrinted>
  <dcterms:modified xsi:type="dcterms:W3CDTF">2024-02-28T06:54:09Z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666D2839A54640AB9E686B422B6CF71A_11</vt:lpwstr>
  </property>
</Properties>
</file>