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44"/>
          <w:szCs w:val="44"/>
          <w:u w:val="none"/>
          <w:bdr w:val="none" w:color="auto" w:sz="0" w:space="0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44"/>
          <w:szCs w:val="44"/>
          <w:u w:val="none"/>
          <w:bdr w:val="none" w:color="auto" w:sz="0" w:space="0"/>
        </w:rPr>
        <w:fldChar w:fldCharType="begin"/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44"/>
          <w:szCs w:val="44"/>
          <w:u w:val="none"/>
          <w:bdr w:val="none" w:color="auto" w:sz="0" w:space="0"/>
        </w:rPr>
        <w:instrText xml:space="preserve"> HYPERLINK "http://www.cqtn.gov.cn/zwgk_184/zfxxgknb/qzfbm_58264/qtyjrswj_65828/202101/javascript:void(0)" </w:instrTex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44"/>
          <w:szCs w:val="44"/>
          <w:u w:val="none"/>
          <w:bdr w:val="none" w:color="auto" w:sz="0" w:space="0"/>
        </w:rPr>
        <w:fldChar w:fldCharType="separate"/>
      </w: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44"/>
          <w:szCs w:val="44"/>
          <w:u w:val="none"/>
          <w:bdr w:val="none" w:color="auto" w:sz="0" w:space="0"/>
          <w:lang w:eastAsia="zh-CN"/>
        </w:rPr>
        <w:t>正宁县</w:t>
      </w: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44"/>
          <w:szCs w:val="44"/>
          <w:u w:val="none"/>
          <w:bdr w:val="none" w:color="auto" w:sz="0" w:space="0"/>
        </w:rPr>
        <w:t>退役军人事务局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44"/>
          <w:szCs w:val="44"/>
          <w:u w:val="none"/>
          <w:bdr w:val="none" w:color="auto" w:sz="0" w:space="0"/>
        </w:rPr>
        <w:t>2020年政府信息公开工作年度报告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44"/>
          <w:szCs w:val="44"/>
          <w:u w:val="none"/>
          <w:bdr w:val="none" w:color="auto" w:sz="0" w:space="0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2020年，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lang w:eastAsia="zh-CN"/>
        </w:rPr>
        <w:t>正宁县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退役军人事务局按照《中华人民共和国政府信息公开条例》和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政府信息公开相关要求，加强组织领导，健全工作机制，</w:t>
      </w:r>
      <w:r>
        <w:rPr>
          <w:rFonts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充分运用政府信息公开网，推动我局信息公开向纵深开展，切实保障人民群众对退役军人工作的知情权、参与权、表达权和监督权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有效促进了退役军人各项工作的顺利进行。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2020年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lang w:val="en-US" w:eastAsia="zh-CN"/>
        </w:rPr>
        <w:t>1月1日至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12月31日，通过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lang w:eastAsia="zh-CN"/>
        </w:rPr>
        <w:t>正宁县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人民政府网发布工作动态类信息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条，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甘肃政务服务网正宁子站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共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公开政务服务办事目录及办事指南信息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条。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全年未收到政府信息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申请。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二、主动公开政府信息情况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1980"/>
        <w:gridCol w:w="2131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90" w:type="dxa"/>
          <w:trHeight w:val="567" w:hRule="atLeast"/>
          <w:jc w:val="center"/>
        </w:trPr>
        <w:tc>
          <w:tcPr>
            <w:tcW w:w="8099" w:type="dxa"/>
            <w:gridSpan w:val="4"/>
            <w:shd w:val="clear" w:color="auto" w:fill="B6DDE8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90" w:type="dxa"/>
          <w:trHeight w:val="567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本年新制作数量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本年新公开数量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90" w:type="dxa"/>
          <w:trHeight w:val="567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规章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90" w:type="dxa"/>
          <w:trHeight w:val="567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规范性文件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90" w:type="dxa"/>
          <w:trHeight w:val="567" w:hRule="atLeast"/>
          <w:jc w:val="center"/>
        </w:trPr>
        <w:tc>
          <w:tcPr>
            <w:tcW w:w="8099" w:type="dxa"/>
            <w:gridSpan w:val="4"/>
            <w:shd w:val="clear" w:color="auto" w:fill="B6DDE8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90" w:type="dxa"/>
          <w:trHeight w:val="567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本年增/减处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90" w:type="dxa"/>
          <w:trHeight w:val="567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行政许可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90" w:type="dxa"/>
          <w:trHeight w:val="567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其他对外管理服务事项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90" w:type="dxa"/>
          <w:trHeight w:val="567" w:hRule="atLeast"/>
          <w:jc w:val="center"/>
        </w:trPr>
        <w:tc>
          <w:tcPr>
            <w:tcW w:w="8099" w:type="dxa"/>
            <w:gridSpan w:val="4"/>
            <w:shd w:val="clear" w:color="auto" w:fill="B6DDE8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90" w:type="dxa"/>
          <w:trHeight w:val="567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本年增/减处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90" w:type="dxa"/>
          <w:trHeight w:val="567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行政处罚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90" w:type="dxa"/>
          <w:trHeight w:val="567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行政强制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90" w:type="dxa"/>
          <w:trHeight w:val="567" w:hRule="atLeast"/>
          <w:jc w:val="center"/>
        </w:trPr>
        <w:tc>
          <w:tcPr>
            <w:tcW w:w="8099" w:type="dxa"/>
            <w:gridSpan w:val="4"/>
            <w:shd w:val="clear" w:color="auto" w:fill="B6DDE8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90" w:type="dxa"/>
          <w:trHeight w:val="567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407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90" w:type="dxa"/>
          <w:trHeight w:val="567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行政事业性收费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07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90" w:type="dxa"/>
          <w:trHeight w:val="567" w:hRule="atLeast"/>
          <w:jc w:val="center"/>
        </w:trPr>
        <w:tc>
          <w:tcPr>
            <w:tcW w:w="8099" w:type="dxa"/>
            <w:gridSpan w:val="4"/>
            <w:shd w:val="clear" w:color="auto" w:fill="B6DDE8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90" w:type="dxa"/>
          <w:trHeight w:val="567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采购项目数量</w:t>
            </w:r>
          </w:p>
        </w:tc>
        <w:tc>
          <w:tcPr>
            <w:tcW w:w="407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90" w:type="dxa"/>
          <w:trHeight w:val="567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政府集中采购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07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lang w:eastAsia="zh-CN"/>
        </w:rPr>
        <w:t>三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、收到和处理政府信息公开申请情况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57"/>
        <w:gridCol w:w="2410"/>
        <w:gridCol w:w="709"/>
        <w:gridCol w:w="850"/>
        <w:gridCol w:w="709"/>
        <w:gridCol w:w="851"/>
        <w:gridCol w:w="850"/>
        <w:gridCol w:w="448"/>
        <w:gridCol w:w="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" w:type="dxa"/>
          <w:trHeight w:val="454" w:hRule="exact"/>
          <w:jc w:val="center"/>
        </w:trPr>
        <w:tc>
          <w:tcPr>
            <w:tcW w:w="3635" w:type="dxa"/>
            <w:gridSpan w:val="3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（本列数据的勾稽关系为：第一项加第二项之和，等于第三项加第四项之和）</w:t>
            </w:r>
          </w:p>
        </w:tc>
        <w:tc>
          <w:tcPr>
            <w:tcW w:w="4777" w:type="dxa"/>
            <w:gridSpan w:val="7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" w:type="dxa"/>
          <w:trHeight w:val="454" w:hRule="exact"/>
          <w:jc w:val="center"/>
        </w:trPr>
        <w:tc>
          <w:tcPr>
            <w:tcW w:w="3635" w:type="dxa"/>
            <w:gridSpan w:val="3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     然     人</w:t>
            </w:r>
          </w:p>
        </w:tc>
        <w:tc>
          <w:tcPr>
            <w:tcW w:w="3708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法人或其他组织</w:t>
            </w:r>
          </w:p>
        </w:tc>
        <w:tc>
          <w:tcPr>
            <w:tcW w:w="360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" w:type="dxa"/>
          <w:trHeight w:val="552" w:hRule="exact"/>
          <w:jc w:val="center"/>
        </w:trPr>
        <w:tc>
          <w:tcPr>
            <w:tcW w:w="3635" w:type="dxa"/>
            <w:gridSpan w:val="3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商业企业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科研机构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社会公益组织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法律服务机构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360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" w:type="dxa"/>
          <w:trHeight w:val="454" w:hRule="exact"/>
          <w:jc w:val="center"/>
        </w:trPr>
        <w:tc>
          <w:tcPr>
            <w:tcW w:w="3635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" w:type="dxa"/>
          <w:trHeight w:val="454" w:hRule="exact"/>
          <w:jc w:val="center"/>
        </w:trPr>
        <w:tc>
          <w:tcPr>
            <w:tcW w:w="3635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" w:type="dxa"/>
          <w:trHeight w:val="454" w:hRule="exact"/>
          <w:jc w:val="center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三、本  年 度 办 理 结 果</w:t>
            </w:r>
          </w:p>
        </w:tc>
        <w:tc>
          <w:tcPr>
            <w:tcW w:w="3167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（一）予以公开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" w:type="dxa"/>
          <w:trHeight w:val="592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67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" w:type="dxa"/>
          <w:trHeight w:val="45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（三）不予         公开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1.属于国家秘密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" w:type="dxa"/>
          <w:trHeight w:val="45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2.其他法律行政法规禁止公开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" w:type="dxa"/>
          <w:trHeight w:val="45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3.危及“三安全一隐患”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" w:type="dxa"/>
          <w:trHeight w:val="45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4.保护第三方合法权益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" w:type="dxa"/>
          <w:trHeight w:val="45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5.属于三类内部事务信息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" w:type="dxa"/>
          <w:trHeight w:val="45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6.属于四类过程性信息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" w:type="dxa"/>
          <w:trHeight w:val="45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7.属于行政执法案卷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" w:type="dxa"/>
          <w:trHeight w:val="45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8.属于行政查询事项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" w:type="dxa"/>
          <w:trHeight w:val="45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（四）无法     提供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1.本机关不掌握相关政府信息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" w:type="dxa"/>
          <w:trHeight w:val="45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2.没有现成信息需要另行制作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" w:type="dxa"/>
          <w:trHeight w:val="45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3.补正后申请内容仍不明确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" w:type="dxa"/>
          <w:trHeight w:val="45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（五）不予    处理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1.信访举报投诉类申请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" w:type="dxa"/>
          <w:trHeight w:val="45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2.重复申请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" w:type="dxa"/>
          <w:trHeight w:val="45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3.要求提供公开出版物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" w:type="dxa"/>
          <w:trHeight w:val="45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4.无正当理由大量反复申请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" w:type="dxa"/>
          <w:trHeight w:val="575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5.要求行政机关确认或重新出具已获取信息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" w:type="dxa"/>
          <w:trHeight w:val="45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67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（六）其他处理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" w:type="dxa"/>
          <w:trHeight w:val="45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67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（七）总计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" w:type="dxa"/>
          <w:trHeight w:val="454" w:hRule="exact"/>
          <w:jc w:val="center"/>
        </w:trPr>
        <w:tc>
          <w:tcPr>
            <w:tcW w:w="3635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四、结转下年度继续办理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lang w:eastAsia="zh-CN"/>
        </w:rPr>
        <w:t>四、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政府信息公开行政复议、行政诉讼情况</w:t>
      </w:r>
    </w:p>
    <w:p>
      <w:pPr>
        <w:shd w:val="clear" w:color="auto" w:fill="FFFFFF"/>
        <w:spacing w:line="585" w:lineRule="atLeast"/>
        <w:ind w:firstLine="645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2020年，无政府信息公开行政复议和行政诉讼情况。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04" w:type="dxa"/>
          <w:trHeight w:val="567" w:hRule="atLeast"/>
          <w:jc w:val="center"/>
        </w:trPr>
        <w:tc>
          <w:tcPr>
            <w:tcW w:w="2695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行政复议</w:t>
            </w:r>
          </w:p>
        </w:tc>
        <w:tc>
          <w:tcPr>
            <w:tcW w:w="5390" w:type="dxa"/>
            <w:gridSpan w:val="10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04" w:type="dxa"/>
          <w:trHeight w:val="567" w:hRule="atLeast"/>
          <w:jc w:val="center"/>
        </w:trPr>
        <w:tc>
          <w:tcPr>
            <w:tcW w:w="539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结果维持</w:t>
            </w:r>
          </w:p>
        </w:tc>
        <w:tc>
          <w:tcPr>
            <w:tcW w:w="539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结果纠正</w:t>
            </w:r>
          </w:p>
        </w:tc>
        <w:tc>
          <w:tcPr>
            <w:tcW w:w="539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其他结果</w:t>
            </w:r>
          </w:p>
        </w:tc>
        <w:tc>
          <w:tcPr>
            <w:tcW w:w="539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尚未审结</w:t>
            </w:r>
          </w:p>
        </w:tc>
        <w:tc>
          <w:tcPr>
            <w:tcW w:w="539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总结</w:t>
            </w:r>
          </w:p>
        </w:tc>
        <w:tc>
          <w:tcPr>
            <w:tcW w:w="2695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未经复议直接起诉</w:t>
            </w:r>
          </w:p>
        </w:tc>
        <w:tc>
          <w:tcPr>
            <w:tcW w:w="2695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04" w:type="dxa"/>
          <w:trHeight w:val="567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结果维持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结果纠正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其他其结果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尚未审结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总结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结果维持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结果纠正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其他其结果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尚未审结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04" w:type="dxa"/>
          <w:trHeight w:val="567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lang w:eastAsia="zh-CN"/>
        </w:rPr>
        <w:t>五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、存在的主要问题及改进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lang w:eastAsia="zh-CN"/>
        </w:rPr>
        <w:t>措施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2020年，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lang w:eastAsia="zh-CN"/>
        </w:rPr>
        <w:t>正宁县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退役军人事务局政府信息公开工作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lang w:eastAsia="zh-CN"/>
        </w:rPr>
        <w:t>取得了一定成绩，但还存在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信息公开不够及时，质量不够高、相对单一，政府信息公开工作缺乏专业人员。针对以上问题，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lang w:eastAsia="zh-CN"/>
        </w:rPr>
        <w:t>正宁县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退役军人事务局信息公开工作安排专人负责审核政务信息，严格按照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lang w:eastAsia="zh-CN"/>
        </w:rPr>
        <w:t>县委、县政府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统一部署，深化退役军人工作、双拥工作等重点领域信息公开，加强政策宣传解读，扩大主动公开信息量。建立信息采集、审核、考核工作制度，加强对信息工作人员的培训，确保及时规范准确发布相关信息回应社会关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lang w:eastAsia="zh-CN"/>
        </w:rPr>
        <w:t>六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1A508A"/>
    <w:rsid w:val="7582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2021-04-27T12:54:12Z</dcterms:created>
  <dc:creator>Administrator</dc:creator>
  <cp:lastModifiedBy>Administrator</cp:lastModifiedBy>
  <dcterms:modified xsi:type="dcterms:W3CDTF">2021-04-27T13:56:43Z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