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tabs>
          <w:tab w:val="left" w:pos="297"/>
        </w:tabs>
        <w:adjustRightInd/>
        <w:spacing w:line="420" w:lineRule="exact"/>
        <w:ind w:right="334" w:rightChars="159"/>
        <w:jc w:val="both"/>
        <w:rPr>
          <w:rFonts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简体" w:hAnsi="方正小标宋简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/>
          <w:bCs/>
          <w:kern w:val="0"/>
          <w:sz w:val="44"/>
          <w:szCs w:val="44"/>
        </w:rPr>
        <w:t>正宁县</w:t>
      </w:r>
      <w:r>
        <w:rPr>
          <w:rFonts w:hint="eastAsia" w:ascii="方正小标宋简体" w:hAnsi="方正小标宋简体" w:eastAsia="方正小标宋简体" w:cs="宋体"/>
          <w:b/>
          <w:bCs/>
          <w:kern w:val="0"/>
          <w:sz w:val="44"/>
          <w:szCs w:val="44"/>
          <w:lang w:eastAsia="zh-CN"/>
        </w:rPr>
        <w:t>人社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kern w:val="0"/>
          <w:sz w:val="44"/>
          <w:szCs w:val="44"/>
        </w:rPr>
        <w:t>局2020年政府信息公开</w:t>
      </w:r>
    </w:p>
    <w:p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简体" w:hAnsi="方正小标宋简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/>
          <w:bCs/>
          <w:kern w:val="0"/>
          <w:sz w:val="44"/>
          <w:szCs w:val="44"/>
        </w:rPr>
        <w:t>工作年度报告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按照《中华人民共和国政府信息公开条例》（以下简称：《条例》）规定，现公布正宁县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人社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局2020年政府信息公开工作年度报告。本报告由总体情况、主动公开政府信息情况、收到和处理政府信息公开申请情况、政府信息公开行政复议和行政诉讼情况、存在的主要问题及改进情况、其他需要报告的事项等六部分组成。年报所列数据统计时限为2020年1月1日至2020年12月31日。</w:t>
      </w:r>
      <w:r>
        <w:rPr>
          <w:rFonts w:hint="eastAsia" w:ascii="微软雅黑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　一、总体情况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（一）强化组织领导。</w:t>
      </w:r>
      <w:r>
        <w:rPr>
          <w:rFonts w:hint="eastAsia" w:ascii="仿宋_GB2312" w:eastAsia="仿宋_GB2312"/>
          <w:sz w:val="32"/>
          <w:szCs w:val="32"/>
          <w:lang w:eastAsia="zh-CN"/>
        </w:rPr>
        <w:t>人社局</w:t>
      </w:r>
      <w:r>
        <w:rPr>
          <w:rFonts w:hint="eastAsia" w:ascii="仿宋_GB2312" w:eastAsia="仿宋_GB2312"/>
          <w:sz w:val="32"/>
          <w:szCs w:val="32"/>
        </w:rPr>
        <w:t>高度重视政府信息公开工作，主要领导、分管领导多次在</w:t>
      </w:r>
      <w:r>
        <w:rPr>
          <w:rFonts w:hint="eastAsia" w:ascii="仿宋_GB2312" w:eastAsia="仿宋_GB2312"/>
          <w:sz w:val="32"/>
          <w:szCs w:val="32"/>
          <w:lang w:eastAsia="zh-CN"/>
        </w:rPr>
        <w:t>职工</w:t>
      </w:r>
      <w:r>
        <w:rPr>
          <w:rFonts w:hint="eastAsia" w:ascii="仿宋_GB2312" w:eastAsia="仿宋_GB2312"/>
          <w:sz w:val="32"/>
          <w:szCs w:val="32"/>
        </w:rPr>
        <w:t>会议上就进一步深化政府信息公开工作作出安排部署，提出明确要求。各</w:t>
      </w:r>
      <w:r>
        <w:rPr>
          <w:rFonts w:hint="eastAsia" w:ascii="仿宋_GB2312" w:eastAsia="仿宋_GB2312"/>
          <w:sz w:val="32"/>
          <w:szCs w:val="32"/>
          <w:lang w:eastAsia="zh-CN"/>
        </w:rPr>
        <w:t>股室</w:t>
      </w:r>
      <w:r>
        <w:rPr>
          <w:rFonts w:hint="eastAsia" w:ascii="仿宋_GB2312" w:eastAsia="仿宋_GB2312"/>
          <w:sz w:val="32"/>
          <w:szCs w:val="32"/>
        </w:rPr>
        <w:t>明确分工</w:t>
      </w:r>
      <w:r>
        <w:rPr>
          <w:rFonts w:hint="eastAsia" w:ascii="仿宋_GB2312" w:eastAsia="仿宋_GB2312"/>
          <w:sz w:val="32"/>
          <w:szCs w:val="32"/>
          <w:lang w:eastAsia="zh-CN"/>
        </w:rPr>
        <w:t>及工</w:t>
      </w:r>
      <w:r>
        <w:rPr>
          <w:rFonts w:hint="eastAsia" w:ascii="仿宋_GB2312" w:eastAsia="仿宋_GB2312"/>
          <w:sz w:val="32"/>
          <w:szCs w:val="32"/>
        </w:rPr>
        <w:t>作人员，确保政府信息公开工作顺利开展。</w:t>
      </w:r>
    </w:p>
    <w:p>
      <w:pPr>
        <w:shd w:val="clear" w:color="auto" w:fill="FFFFFF"/>
        <w:spacing w:line="600" w:lineRule="exact"/>
        <w:ind w:firstLine="645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（二）强化公开力度。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紧扣县委、县政府决策部署，及时报道主要工作进展情况、重大活动开展情况、重要会议召开情况以及党员领导干部深入基层调研情况。对人民群众关注关切、涉及群众切身利益、需要社会广泛知晓的重大决策部署及时、主动、全面、准确地进行公开，主动接受社会公众监督。</w:t>
      </w:r>
    </w:p>
    <w:p>
      <w:pPr>
        <w:spacing w:line="600" w:lineRule="exact"/>
        <w:ind w:firstLine="643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（三）强化诉求回应。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对人民群众诉求及反映事项，及时交办相关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股室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办理，并将办理结果及时反馈诉求人且在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专用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网站公开回复，有力地保障了公众的知情权、参与权、表达权和监督权，</w:t>
      </w:r>
    </w:p>
    <w:p>
      <w:pPr>
        <w:shd w:val="clear" w:color="auto" w:fill="FFFFFF"/>
        <w:spacing w:line="600" w:lineRule="exact"/>
        <w:ind w:firstLine="645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主动公开政府信息涉及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政务要闻、</w:t>
      </w:r>
      <w:r>
        <w:rPr>
          <w:rFonts w:hint="eastAsia" w:ascii="仿宋_GB2312" w:hAnsi="Helvetica" w:eastAsia="仿宋_GB2312" w:cs="Helvetica"/>
          <w:sz w:val="32"/>
          <w:szCs w:val="32"/>
        </w:rPr>
        <w:t>政务服务、政策法规、政策解读、重大水利项目建设等方面的内容。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从2020年1月1日至12月31日，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通过对各工作部门主动公开的信息进行统计、汇总。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2020年度，我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系统通过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县人民政府网站发布信息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条，其中：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人社局公示公告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17条，基层动态2条；就业局公示公告18条；社保局公示公告2条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 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2020年度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无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收到和处理政府信息公开申请情况。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7"/>
        <w:gridCol w:w="2410"/>
        <w:gridCol w:w="709"/>
        <w:gridCol w:w="850"/>
        <w:gridCol w:w="709"/>
        <w:gridCol w:w="851"/>
        <w:gridCol w:w="850"/>
        <w:gridCol w:w="448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77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自     然     人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法人或其他组织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35" w:type="dxa"/>
            <w:gridSpan w:val="3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商业企业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科研机构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社会公益组织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法律服务机构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三、本  年 度 办 理 结 果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（三）不予         公开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1.属于国家秘密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2.其他法律行政法规禁止公开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3.危及“三安全一隐患”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4.保护第三方合法权益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5.属于三类内部事务信息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6.属于四类过程性信息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7.属于行政执法案卷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8.属于行政查询事项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（四）无法     提供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1.本机关不掌握相关政府信息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2.没有现成信息需要另行制作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3.补正后申请内容仍不明确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（五）不予    处理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1.信访举报投诉类申请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2.重复申请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3.要求提供公开出版物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4.无正当理由大量反复申请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0</w:t>
            </w:r>
          </w:p>
        </w:tc>
      </w:tr>
    </w:tbl>
    <w:p>
      <w:pPr>
        <w:widowControl/>
        <w:shd w:val="clear" w:color="auto" w:fill="FFFFFF"/>
        <w:ind w:left="420" w:hanging="420" w:hanging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2020年度无政府信息公开行政复议、行政诉讼情况。　　</w:t>
      </w:r>
    </w:p>
    <w:tbl>
      <w:tblPr>
        <w:tblStyle w:val="4"/>
        <w:tblW w:w="81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6"/>
        <w:gridCol w:w="536"/>
        <w:gridCol w:w="536"/>
        <w:gridCol w:w="441"/>
        <w:gridCol w:w="661"/>
        <w:gridCol w:w="536"/>
        <w:gridCol w:w="536"/>
        <w:gridCol w:w="536"/>
        <w:gridCol w:w="552"/>
        <w:gridCol w:w="536"/>
        <w:gridCol w:w="536"/>
        <w:gridCol w:w="536"/>
        <w:gridCol w:w="536"/>
        <w:gridCol w:w="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55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8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 持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shd w:val="clear" w:color="auto" w:fill="FFFFFF"/>
        <w:spacing w:line="600" w:lineRule="exact"/>
        <w:ind w:firstLine="646"/>
        <w:rPr>
          <w:rFonts w:ascii="Helvetica" w:hAnsi="Helvetica" w:cs="Helvetica"/>
          <w:color w:val="333333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五、存在的主要问题及改进情况</w:t>
      </w:r>
      <w:r>
        <w:rPr>
          <w:rFonts w:hint="eastAsia" w:ascii="微软雅黑" w:hAnsi="微软雅黑" w:eastAsia="黑体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我局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信息公开工作虽然取得了一定的成绩，但还存在对政府信息公开力度不够大、人员配备不足、业务能力不强等问题，导致个别领域信息公开工作相对滞后，与上级要求和群众需求有一定差距。</w:t>
      </w:r>
    </w:p>
    <w:p>
      <w:pPr>
        <w:widowControl/>
        <w:shd w:val="clear" w:color="auto" w:fill="FFFFFF"/>
        <w:spacing w:line="600" w:lineRule="exact"/>
        <w:ind w:firstLine="480" w:firstLineChars="150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2021年，我们将按照省市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要求，进一步加强和深化政府信息公开工作，重点做好以下几方面工作：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</w:rPr>
        <w:t>一是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提高工作能力及业务水平，保证政府信息公开工作的有序规范开展。</w:t>
      </w:r>
      <w:r>
        <w:rPr>
          <w:rFonts w:hint="eastAsia" w:ascii="仿宋_GB2312" w:hAnsi="Helvetica" w:eastAsia="仿宋_GB2312" w:cs="Helvetica"/>
          <w:b/>
          <w:color w:val="333333"/>
          <w:sz w:val="32"/>
          <w:szCs w:val="32"/>
        </w:rPr>
        <w:t>二是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积极开展宣传活动，不断提高公众的知晓率和参与度。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</w:rPr>
        <w:t>三是</w:t>
      </w:r>
      <w:r>
        <w:rPr>
          <w:rFonts w:hint="eastAsia" w:ascii="仿宋_GB2312" w:hAnsi="Helvetica" w:eastAsia="仿宋_GB2312" w:cs="Helvetica"/>
          <w:bCs/>
          <w:color w:val="333333"/>
          <w:sz w:val="32"/>
        </w:rPr>
        <w:t>强化信息的时效性和规范性，及时更新信息内容，提高信息质量，使社会公众能更方便、更及时地获取丰富的有效信息。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六、其他需要报告的事项</w:t>
      </w:r>
      <w:r>
        <w:rPr>
          <w:rFonts w:hint="eastAsia" w:ascii="微软雅黑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无</w:t>
      </w:r>
    </w:p>
    <w:p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4366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D6C"/>
    <w:rsid w:val="000005F5"/>
    <w:rsid w:val="00005731"/>
    <w:rsid w:val="00122B66"/>
    <w:rsid w:val="001C6A80"/>
    <w:rsid w:val="001D1DD8"/>
    <w:rsid w:val="0027583A"/>
    <w:rsid w:val="00295686"/>
    <w:rsid w:val="002A3CCC"/>
    <w:rsid w:val="00305A1F"/>
    <w:rsid w:val="003A0774"/>
    <w:rsid w:val="003C21CB"/>
    <w:rsid w:val="003C6AF8"/>
    <w:rsid w:val="004E2A65"/>
    <w:rsid w:val="005145BC"/>
    <w:rsid w:val="005F4D55"/>
    <w:rsid w:val="006F3D6C"/>
    <w:rsid w:val="00794B48"/>
    <w:rsid w:val="007A2D57"/>
    <w:rsid w:val="008724EF"/>
    <w:rsid w:val="00874D06"/>
    <w:rsid w:val="00A21E7E"/>
    <w:rsid w:val="00A4409A"/>
    <w:rsid w:val="00BD6186"/>
    <w:rsid w:val="00C5319D"/>
    <w:rsid w:val="00CA7B18"/>
    <w:rsid w:val="00DB0355"/>
    <w:rsid w:val="00E56E92"/>
    <w:rsid w:val="00EC69CE"/>
    <w:rsid w:val="00F31552"/>
    <w:rsid w:val="00F36566"/>
    <w:rsid w:val="00F41FFA"/>
    <w:rsid w:val="5BCA5790"/>
    <w:rsid w:val="5EE13031"/>
    <w:rsid w:val="722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0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325</Words>
  <Characters>1853</Characters>
  <Lines>15</Lines>
  <Paragraphs>4</Paragraphs>
  <TotalTime>2</TotalTime>
  <ScaleCrop>false</ScaleCrop>
  <LinksUpToDate>false</LinksUpToDate>
  <CharactersWithSpaces>2174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2021-04-30T08:09:00Z</dcterms:created>
  <dc:creator>DELL</dc:creator>
  <cp:lastModifiedBy>九月 </cp:lastModifiedBy>
  <cp:lastPrinted>2021-04-30T10:00:00Z</cp:lastPrinted>
  <dcterms:modified xsi:type="dcterms:W3CDTF">2021-05-14T07:35:42Z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