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Theme="majorEastAsia" w:hAnsiTheme="majorEastAsia" w:eastAsiaTheme="majorEastAsia" w:cstheme="majorEastAsia"/>
          <w:b/>
          <w:bCs/>
          <w:spacing w:val="0"/>
          <w:w w:val="99"/>
          <w:sz w:val="32"/>
          <w:szCs w:val="32"/>
          <w:lang w:eastAsia="zh-CN"/>
        </w:rPr>
      </w:pPr>
      <w:bookmarkStart w:id="4" w:name="_GoBack"/>
      <w:bookmarkEnd w:id="4"/>
      <w:r>
        <w:rPr>
          <w:rFonts w:hint="eastAsia" w:asciiTheme="majorEastAsia" w:hAnsiTheme="majorEastAsia" w:eastAsiaTheme="majorEastAsia" w:cstheme="majorEastAsia"/>
          <w:b/>
          <w:bCs/>
          <w:spacing w:val="0"/>
          <w:w w:val="99"/>
          <w:sz w:val="32"/>
          <w:szCs w:val="32"/>
          <w:lang w:eastAsia="zh-CN"/>
        </w:rPr>
        <w:t>正宁县人民政府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Theme="majorEastAsia" w:hAnsiTheme="majorEastAsia" w:eastAsiaTheme="majorEastAsia" w:cstheme="majorEastAsia"/>
          <w:b/>
          <w:bCs/>
          <w:spacing w:val="0"/>
          <w:w w:val="99"/>
          <w:sz w:val="32"/>
          <w:szCs w:val="32"/>
          <w:lang w:eastAsia="zh-CN"/>
        </w:rPr>
      </w:pPr>
      <w:r>
        <w:rPr>
          <w:rFonts w:hint="eastAsia" w:asciiTheme="majorEastAsia" w:hAnsiTheme="majorEastAsia" w:eastAsiaTheme="majorEastAsia" w:cstheme="majorEastAsia"/>
          <w:b/>
          <w:bCs/>
          <w:spacing w:val="0"/>
          <w:w w:val="99"/>
          <w:sz w:val="32"/>
          <w:szCs w:val="32"/>
          <w:lang w:eastAsia="zh-CN"/>
        </w:rPr>
        <w:t>关于印发正宁县国民经济和社会发展第十四个五年规划和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Theme="majorEastAsia" w:hAnsiTheme="majorEastAsia" w:eastAsiaTheme="majorEastAsia" w:cstheme="majorEastAsia"/>
          <w:b/>
          <w:bCs/>
          <w:spacing w:val="0"/>
          <w:w w:val="99"/>
          <w:sz w:val="32"/>
          <w:szCs w:val="32"/>
        </w:rPr>
      </w:pPr>
      <w:r>
        <w:rPr>
          <w:rFonts w:hint="eastAsia" w:asciiTheme="majorEastAsia" w:hAnsiTheme="majorEastAsia" w:eastAsiaTheme="majorEastAsia" w:cstheme="majorEastAsia"/>
          <w:b/>
          <w:bCs/>
          <w:spacing w:val="0"/>
          <w:w w:val="99"/>
          <w:sz w:val="32"/>
          <w:szCs w:val="32"/>
          <w:lang w:eastAsia="zh-CN"/>
        </w:rPr>
        <w:t>二〇三五年远景目标纲要的通知的政策解读</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imes New Roman" w:hAnsi="Times New Roman"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ind w:firstLine="560"/>
        <w:textAlignment w:val="auto"/>
        <w:rPr>
          <w:rFonts w:hint="default" w:ascii="Times New Roman" w:hAnsi="Times New Roman" w:cs="Times New Roman"/>
          <w:color w:val="auto"/>
          <w:highlight w:val="none"/>
          <w:lang w:val="zh-CN"/>
        </w:rPr>
      </w:pP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eastAsia="zh-CN"/>
        </w:rPr>
        <w:t>十四五</w:t>
      </w:r>
      <w:r>
        <w:rPr>
          <w:rFonts w:hint="eastAsia"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eastAsia="zh-CN"/>
        </w:rPr>
        <w:t>时期（2021—2025年）是我县全面建成小康社会、实现第一个百年奋斗目标之后，乘势而上开启全面建设社会主义现代化国家新征程、向第二个百年奋斗目标进军的第一个五年，也是我县后发追赶、尽可能缩小地区差距、保持与全国现代化建设同步的五年。正宁县国民经济和社会发展第十四个五年规划</w:t>
      </w:r>
      <w:r>
        <w:rPr>
          <w:rFonts w:hint="eastAsia" w:cs="Times New Roman"/>
          <w:color w:val="auto"/>
          <w:sz w:val="32"/>
          <w:szCs w:val="32"/>
          <w:highlight w:val="none"/>
          <w:lang w:eastAsia="zh-CN"/>
        </w:rPr>
        <w:t>和</w:t>
      </w:r>
      <w:r>
        <w:rPr>
          <w:rFonts w:hint="default" w:ascii="Times New Roman" w:hAnsi="Times New Roman" w:cs="Times New Roman"/>
          <w:color w:val="auto"/>
          <w:sz w:val="32"/>
          <w:szCs w:val="32"/>
          <w:highlight w:val="none"/>
          <w:lang w:eastAsia="zh-CN"/>
        </w:rPr>
        <w:t>二〇三五年远景目标</w:t>
      </w:r>
      <w:r>
        <w:rPr>
          <w:rFonts w:hint="eastAsia" w:cs="Times New Roman"/>
          <w:color w:val="auto"/>
          <w:sz w:val="32"/>
          <w:szCs w:val="32"/>
          <w:highlight w:val="none"/>
          <w:lang w:val="en-US" w:eastAsia="zh-CN"/>
        </w:rPr>
        <w:t>纲要</w:t>
      </w:r>
      <w:r>
        <w:rPr>
          <w:rFonts w:hint="default" w:ascii="Times New Roman" w:hAnsi="Times New Roman" w:cs="Times New Roman"/>
          <w:color w:val="auto"/>
          <w:sz w:val="32"/>
          <w:szCs w:val="32"/>
          <w:highlight w:val="none"/>
          <w:lang w:eastAsia="zh-CN"/>
        </w:rPr>
        <w:t>，依据《中共正宁县委关于制定国民经济和社会发展第十四个五年规划和二〇三五年远景目标的建议》编制，是全面建设社会主义现代化新正宁的宏伟蓝图和行动纲领，贯彻党和国家、省、市总体部署，阐明县委、县政府发展意图和工作重点，引导规范市场主体行为，是全县各级政府、各个部门依法履行职能、编制各类规划、制定实施年度计划、实施各类建设项目与重大任务的重要依据。</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highlight w:val="none"/>
          <w:lang w:val="zh-CN"/>
        </w:rPr>
        <w:sectPr>
          <w:footerReference r:id="rId3" w:type="default"/>
          <w:pgSz w:w="11906" w:h="16838"/>
          <w:pgMar w:top="1984" w:right="1531" w:bottom="1701" w:left="1531" w:header="851" w:footer="1134" w:gutter="0"/>
          <w:pgNumType w:fmt="decimal" w:start="5"/>
          <w:cols w:space="720" w:num="1"/>
          <w:rtlGutter w:val="0"/>
          <w:docGrid w:type="lines" w:linePitch="435" w:charSpace="0"/>
        </w:sectPr>
      </w:pPr>
    </w:p>
    <w:p>
      <w:pPr>
        <w:pStyle w:val="4"/>
        <w:keepNext/>
        <w:keepLines/>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ascii="黑体" w:hAnsi="黑体" w:eastAsia="黑体" w:cs="黑体"/>
          <w:b w:val="0"/>
          <w:bCs/>
          <w:color w:val="auto"/>
          <w:highlight w:val="none"/>
          <w:lang w:val="zh-CN"/>
        </w:rPr>
      </w:pPr>
      <w:bookmarkStart w:id="0" w:name="_Toc31779"/>
      <w:bookmarkStart w:id="1" w:name="_Toc26182"/>
    </w:p>
    <w:p>
      <w:pPr>
        <w:pStyle w:val="4"/>
        <w:keepNext/>
        <w:keepLines/>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ascii="黑体" w:hAnsi="黑体" w:eastAsia="黑体" w:cs="黑体"/>
          <w:b w:val="0"/>
          <w:bCs/>
          <w:color w:val="auto"/>
          <w:highlight w:val="none"/>
          <w:lang w:val="zh-CN"/>
        </w:rPr>
      </w:pPr>
      <w:r>
        <w:rPr>
          <w:rFonts w:hint="eastAsia" w:ascii="黑体" w:hAnsi="黑体" w:eastAsia="黑体" w:cs="黑体"/>
          <w:b w:val="0"/>
          <w:bCs/>
          <w:color w:val="auto"/>
          <w:highlight w:val="none"/>
          <w:lang w:val="zh-CN"/>
        </w:rPr>
        <w:fldChar w:fldCharType="begin"/>
      </w:r>
      <w:r>
        <w:rPr>
          <w:rFonts w:hint="eastAsia" w:ascii="黑体" w:hAnsi="黑体" w:eastAsia="黑体" w:cs="黑体"/>
          <w:b w:val="0"/>
          <w:bCs/>
          <w:color w:val="auto"/>
          <w:highlight w:val="none"/>
          <w:lang w:val="zh-CN"/>
        </w:rPr>
        <w:instrText xml:space="preserve"> HYPERLINK \l _Toc11350 </w:instrText>
      </w:r>
      <w:r>
        <w:rPr>
          <w:rFonts w:hint="eastAsia" w:ascii="黑体" w:hAnsi="黑体" w:eastAsia="黑体" w:cs="黑体"/>
          <w:b w:val="0"/>
          <w:bCs/>
          <w:color w:val="auto"/>
          <w:highlight w:val="none"/>
          <w:lang w:val="zh-CN"/>
        </w:rPr>
        <w:fldChar w:fldCharType="separate"/>
      </w:r>
      <w:r>
        <w:rPr>
          <w:rFonts w:hint="eastAsia" w:ascii="黑体" w:hAnsi="黑体" w:eastAsia="黑体" w:cs="黑体"/>
          <w:b w:val="0"/>
          <w:bCs/>
          <w:color w:val="auto"/>
          <w:highlight w:val="none"/>
          <w:lang w:val="en-US" w:eastAsia="zh-CN"/>
        </w:rPr>
        <w:t xml:space="preserve">  </w:t>
      </w:r>
      <w:r>
        <w:rPr>
          <w:rFonts w:hint="eastAsia" w:ascii="黑体" w:hAnsi="黑体" w:eastAsia="黑体" w:cs="黑体"/>
          <w:b w:val="0"/>
          <w:bCs/>
          <w:color w:val="auto"/>
          <w:highlight w:val="none"/>
          <w:lang w:val="zh-CN"/>
        </w:rPr>
        <w:t>发</w:t>
      </w:r>
      <w:r>
        <w:rPr>
          <w:rFonts w:hint="eastAsia" w:ascii="黑体" w:hAnsi="黑体" w:eastAsia="黑体" w:cs="黑体"/>
          <w:b w:val="0"/>
          <w:bCs/>
          <w:color w:val="auto"/>
          <w:highlight w:val="none"/>
          <w:lang w:val="zh-CN"/>
        </w:rPr>
        <w:fldChar w:fldCharType="end"/>
      </w:r>
      <w:bookmarkEnd w:id="0"/>
      <w:r>
        <w:rPr>
          <w:rFonts w:hint="eastAsia" w:ascii="黑体" w:hAnsi="黑体" w:eastAsia="黑体" w:cs="黑体"/>
          <w:b w:val="0"/>
          <w:bCs/>
          <w:color w:val="auto"/>
          <w:highlight w:val="none"/>
          <w:lang w:val="zh-CN"/>
        </w:rPr>
        <w:t>展基础</w:t>
      </w:r>
      <w:bookmarkEnd w:id="1"/>
    </w:p>
    <w:p>
      <w:pPr>
        <w:pageBreakBefore w:val="0"/>
        <w:widowControl w:val="0"/>
        <w:kinsoku/>
        <w:wordWrap/>
        <w:overflowPunct/>
        <w:topLinePunct w:val="0"/>
        <w:autoSpaceDE/>
        <w:autoSpaceDN/>
        <w:bidi w:val="0"/>
        <w:adjustRightInd/>
        <w:snapToGrid/>
        <w:spacing w:line="400" w:lineRule="exact"/>
        <w:textAlignment w:val="auto"/>
        <w:rPr>
          <w:rFonts w:hint="eastAsia"/>
          <w:lang w:val="zh-CN"/>
        </w:rPr>
      </w:pPr>
    </w:p>
    <w:p>
      <w:pPr>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十三五</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时期是正宁决战决胜全面建成小康社会的关键时期，面对错综复杂的外部环境和艰巨繁重的改革发展任务，在中央、省市委的坚强领导下，县委团结带领全县广大干部群众，以习近平新时代中国特色社会主义思想为指导，认真贯彻习近平总书记对甘肃重要讲话和指示精神，坚决落实中央、省市委决策部署，统筹做好稳增长、促改革、调结构、惠民生、防风险、保稳定各项工作，全县经济社会发展取得重大成就。</w:t>
      </w:r>
    </w:p>
    <w:p>
      <w:pPr>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b/>
          <w:bCs/>
          <w:color w:val="auto"/>
          <w:highlight w:val="none"/>
          <w:lang w:val="en-US" w:eastAsia="zh-CN"/>
        </w:rPr>
        <w:t>脱贫攻坚圆满收官。</w:t>
      </w:r>
      <w:r>
        <w:rPr>
          <w:rFonts w:hint="default" w:ascii="Times New Roman" w:hAnsi="Times New Roman" w:eastAsia="仿宋_GB2312" w:cs="Times New Roman"/>
          <w:color w:val="000000"/>
          <w:kern w:val="2"/>
          <w:sz w:val="32"/>
          <w:szCs w:val="24"/>
          <w:highlight w:val="none"/>
          <w:u w:val="none" w:color="auto"/>
          <w:lang w:val="en-US" w:eastAsia="zh-CN"/>
        </w:rPr>
        <w:t>五年来</w:t>
      </w:r>
      <w:r>
        <w:rPr>
          <w:rFonts w:hint="default" w:ascii="Times New Roman" w:hAnsi="Times New Roman" w:cs="Times New Roman"/>
          <w:color w:val="auto"/>
          <w:highlight w:val="none"/>
          <w:lang w:val="en-US" w:eastAsia="zh-CN"/>
        </w:rPr>
        <w:t>累计减贫9792户39891人，贫困人口全部脱贫，在全省第一批退出国家贫困县序列，贫困片带面貌、贫困群众生活发生翻天覆地变化，绝对贫困问题历史性地得到解决。</w:t>
      </w:r>
    </w:p>
    <w:p>
      <w:pPr>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b/>
          <w:bCs/>
          <w:color w:val="auto"/>
          <w:highlight w:val="none"/>
          <w:lang w:val="en-US" w:eastAsia="zh-CN"/>
        </w:rPr>
        <w:t>综合实力</w:t>
      </w:r>
      <w:r>
        <w:rPr>
          <w:rFonts w:hint="eastAsia" w:ascii="Times New Roman" w:hAnsi="Times New Roman" w:eastAsia="楷体_GB2312" w:cs="Times New Roman"/>
          <w:b/>
          <w:bCs/>
          <w:color w:val="auto"/>
          <w:highlight w:val="none"/>
          <w:lang w:val="en-US" w:eastAsia="zh-CN"/>
        </w:rPr>
        <w:t>持续</w:t>
      </w:r>
      <w:r>
        <w:rPr>
          <w:rFonts w:hint="default" w:ascii="Times New Roman" w:hAnsi="Times New Roman" w:eastAsia="楷体_GB2312" w:cs="Times New Roman"/>
          <w:b/>
          <w:bCs/>
          <w:color w:val="auto"/>
          <w:highlight w:val="none"/>
          <w:lang w:val="en-US" w:eastAsia="zh-CN"/>
        </w:rPr>
        <w:t>增强。</w:t>
      </w:r>
      <w:r>
        <w:rPr>
          <w:rFonts w:hint="default" w:ascii="Times New Roman" w:hAnsi="Times New Roman" w:cs="Times New Roman"/>
          <w:color w:val="auto"/>
          <w:highlight w:val="none"/>
          <w:lang w:val="en-US" w:eastAsia="zh-CN"/>
        </w:rPr>
        <w:t>高质量发展迈出重要步伐，地区生产总值年均增长5.1%，十大绿色生态产业占GDP的比重增速位居全市第一，经济结构逐步优化，转型升级深入推进，粮食生产连年丰收，县域经济实力</w:t>
      </w:r>
      <w:r>
        <w:rPr>
          <w:rFonts w:hint="eastAsia" w:cs="Times New Roman"/>
          <w:color w:val="auto"/>
          <w:highlight w:val="none"/>
          <w:lang w:val="en-US" w:eastAsia="zh-CN"/>
        </w:rPr>
        <w:t>不断</w:t>
      </w:r>
      <w:r>
        <w:rPr>
          <w:rFonts w:hint="default" w:ascii="Times New Roman" w:hAnsi="Times New Roman" w:cs="Times New Roman"/>
          <w:color w:val="auto"/>
          <w:highlight w:val="none"/>
          <w:lang w:val="en-US" w:eastAsia="zh-CN"/>
        </w:rPr>
        <w:t>增强。</w:t>
      </w:r>
    </w:p>
    <w:p>
      <w:pPr>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b/>
          <w:bCs/>
          <w:color w:val="auto"/>
          <w:highlight w:val="none"/>
          <w:lang w:val="en-US" w:eastAsia="zh-CN"/>
        </w:rPr>
        <w:t>基础条件明显改善。</w:t>
      </w:r>
      <w:r>
        <w:rPr>
          <w:rFonts w:hint="default" w:ascii="Times New Roman" w:hAnsi="Times New Roman" w:cs="Times New Roman"/>
          <w:color w:val="auto"/>
          <w:highlight w:val="none"/>
          <w:lang w:val="en-US" w:eastAsia="zh-CN"/>
        </w:rPr>
        <w:t>新型城镇化试点扎实推进，全县城镇化率由</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十二五</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末的31.58%提高到38.75%。甜永高速、银西高铁等重大交通项目建成运行，县乡村路网、城乡电网、通讯网络实现全覆盖，一批水利工程相继建成，人居环境不断优化，城乡发展空间持续拓展，基础支撑作用明显增强。</w:t>
      </w:r>
    </w:p>
    <w:p>
      <w:pPr>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b/>
          <w:bCs/>
          <w:color w:val="auto"/>
          <w:highlight w:val="none"/>
          <w:lang w:val="en-US" w:eastAsia="zh-CN"/>
        </w:rPr>
        <w:t>产业结构不断优化。</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两区两带</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产业布局正在加快形成，</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2121</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产业发展目标稳步推进，现代农业产业体系初步形成。核桃峪煤矿实现联合试运转，正宁电厂开工建设，大工业发展迈出实质性步伐。文化旅游、金融保险、电子商务等新兴业态多元发展，</w:t>
      </w:r>
      <w:r>
        <w:rPr>
          <w:rFonts w:hint="default" w:ascii="Times New Roman" w:hAnsi="Times New Roman" w:eastAsia="仿宋_GB2312" w:cs="Times New Roman"/>
          <w:sz w:val="32"/>
          <w:szCs w:val="32"/>
          <w:u w:val="none" w:color="auto"/>
        </w:rPr>
        <w:t>产业转型升级成效明显</w:t>
      </w:r>
      <w:r>
        <w:rPr>
          <w:rFonts w:hint="default" w:ascii="Times New Roman" w:hAnsi="Times New Roman" w:cs="Times New Roman"/>
          <w:color w:val="auto"/>
          <w:highlight w:val="none"/>
          <w:lang w:val="en-US" w:eastAsia="zh-CN"/>
        </w:rPr>
        <w:t>。</w:t>
      </w:r>
    </w:p>
    <w:p>
      <w:pPr>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b/>
          <w:bCs/>
          <w:color w:val="auto"/>
          <w:highlight w:val="none"/>
          <w:lang w:val="en-US" w:eastAsia="zh-CN"/>
        </w:rPr>
        <w:t>深化改革富有成效。</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放管服</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改革深入推进，政务环境、营商环境不断优化；党政机构改革、群团组织改革、事业单位改革全面完成；</w:t>
      </w:r>
      <w:r>
        <w:rPr>
          <w:rFonts w:hint="eastAsia" w:ascii="Times New Roman" w:hAnsi="Times New Roman" w:cs="Times New Roman"/>
          <w:color w:val="000000"/>
          <w:kern w:val="0"/>
          <w:sz w:val="32"/>
          <w:szCs w:val="32"/>
          <w:u w:val="none" w:color="auto"/>
          <w:lang w:eastAsia="zh-CN"/>
        </w:rPr>
        <w:t>“</w:t>
      </w:r>
      <w:r>
        <w:rPr>
          <w:rFonts w:hint="default" w:ascii="Times New Roman" w:hAnsi="Times New Roman" w:eastAsia="仿宋_GB2312" w:cs="Times New Roman"/>
          <w:color w:val="000000"/>
          <w:kern w:val="0"/>
          <w:sz w:val="32"/>
          <w:szCs w:val="32"/>
          <w:u w:val="none" w:color="auto"/>
          <w:lang w:val="en-US" w:eastAsia="zh-CN"/>
        </w:rPr>
        <w:t>331+</w:t>
      </w:r>
      <w:r>
        <w:rPr>
          <w:rFonts w:hint="eastAsia" w:ascii="Times New Roman" w:hAnsi="Times New Roman" w:cs="Times New Roman"/>
          <w:color w:val="000000"/>
          <w:kern w:val="0"/>
          <w:sz w:val="32"/>
          <w:szCs w:val="32"/>
          <w:u w:val="none" w:color="auto"/>
          <w:lang w:eastAsia="zh-CN"/>
        </w:rPr>
        <w:t>”</w:t>
      </w:r>
      <w:r>
        <w:rPr>
          <w:rFonts w:hint="eastAsia" w:cs="Times New Roman"/>
          <w:color w:val="000000"/>
          <w:kern w:val="0"/>
          <w:sz w:val="32"/>
          <w:szCs w:val="32"/>
          <w:u w:val="none" w:color="auto"/>
          <w:lang w:eastAsia="zh-CN"/>
        </w:rPr>
        <w:t>产业发展模式</w:t>
      </w:r>
      <w:r>
        <w:rPr>
          <w:rFonts w:hint="default" w:ascii="Times New Roman" w:hAnsi="Times New Roman" w:eastAsia="仿宋_GB2312" w:cs="Times New Roman"/>
          <w:color w:val="000000"/>
          <w:kern w:val="0"/>
          <w:sz w:val="32"/>
          <w:szCs w:val="32"/>
          <w:u w:val="none" w:color="auto"/>
          <w:lang w:val="en-US" w:eastAsia="zh-CN"/>
        </w:rPr>
        <w:t>成效明显；</w:t>
      </w:r>
      <w:r>
        <w:rPr>
          <w:rFonts w:hint="default" w:ascii="Times New Roman" w:hAnsi="Times New Roman" w:cs="Times New Roman"/>
          <w:color w:val="auto"/>
          <w:highlight w:val="none"/>
          <w:lang w:val="en-US" w:eastAsia="zh-CN"/>
        </w:rPr>
        <w:t>治安户长制、特困梯级临时救助、家事审判制度等自主改革取得成效明显，发展活力持续增强。</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b/>
          <w:bCs/>
          <w:color w:val="auto"/>
          <w:highlight w:val="none"/>
          <w:lang w:val="en-US" w:eastAsia="zh-CN"/>
        </w:rPr>
        <w:t>各项事业全面进步。</w:t>
      </w:r>
      <w:r>
        <w:rPr>
          <w:rFonts w:hint="default" w:ascii="Times New Roman" w:hAnsi="Times New Roman" w:cs="Times New Roman"/>
          <w:color w:val="auto"/>
          <w:highlight w:val="none"/>
          <w:lang w:val="en-US" w:eastAsia="zh-CN"/>
        </w:rPr>
        <w:t>教育、卫生、文化、科技、体育等社会事业</w:t>
      </w:r>
      <w:r>
        <w:rPr>
          <w:rFonts w:hint="default" w:ascii="Times New Roman" w:hAnsi="Times New Roman" w:eastAsia="仿宋_GB2312" w:cs="Times New Roman"/>
          <w:sz w:val="32"/>
          <w:szCs w:val="32"/>
          <w:u w:val="none" w:color="auto"/>
          <w:lang w:val="en-US" w:eastAsia="zh-CN"/>
        </w:rPr>
        <w:t>提质</w:t>
      </w:r>
      <w:r>
        <w:rPr>
          <w:rFonts w:hint="default" w:ascii="Times New Roman" w:hAnsi="Times New Roman" w:cs="Times New Roman"/>
          <w:color w:val="auto"/>
          <w:highlight w:val="none"/>
          <w:lang w:val="en-US" w:eastAsia="zh-CN"/>
        </w:rPr>
        <w:t>发展；社会主义核心价值观深入人心，意识形态阵地不断巩固，</w:t>
      </w:r>
      <w:r>
        <w:rPr>
          <w:rFonts w:hint="default" w:ascii="Times New Roman" w:hAnsi="Times New Roman" w:eastAsia="仿宋_GB2312" w:cs="Times New Roman"/>
          <w:sz w:val="32"/>
          <w:szCs w:val="32"/>
          <w:u w:val="none" w:color="auto"/>
          <w:lang w:val="en-US" w:eastAsia="zh-CN"/>
        </w:rPr>
        <w:t>被评为第十五批省级精神文明建设先进县；</w:t>
      </w:r>
      <w:r>
        <w:rPr>
          <w:rFonts w:hint="default" w:ascii="Times New Roman" w:hAnsi="Times New Roman" w:cs="Times New Roman"/>
          <w:color w:val="auto"/>
          <w:highlight w:val="none"/>
          <w:lang w:val="en-US" w:eastAsia="zh-CN"/>
        </w:rPr>
        <w:t>扫黑除恶斗争深入开展，社会治理水平稳步提升，连续10年荣获全省平安县称号，群众的获得感、幸福感、安全感不断增强。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b/>
          <w:bCs/>
          <w:color w:val="auto"/>
          <w:highlight w:val="none"/>
          <w:lang w:val="en-US" w:eastAsia="zh-CN"/>
        </w:rPr>
        <w:t>人民生活水平显著提高。</w:t>
      </w:r>
      <w:r>
        <w:rPr>
          <w:rFonts w:hint="default" w:ascii="Times New Roman" w:hAnsi="Times New Roman" w:cs="Times New Roman"/>
          <w:color w:val="auto"/>
          <w:highlight w:val="none"/>
          <w:lang w:val="en-US" w:eastAsia="zh-CN"/>
        </w:rPr>
        <w:t>城乡居民人均可支配收入年均增长</w:t>
      </w:r>
      <w:r>
        <w:rPr>
          <w:rFonts w:hint="default" w:ascii="Times New Roman" w:hAnsi="Times New Roman" w:eastAsia="仿宋_GB2312" w:cs="Times New Roman"/>
          <w:sz w:val="32"/>
          <w:szCs w:val="32"/>
          <w:highlight w:val="none"/>
          <w:u w:val="none" w:color="auto"/>
        </w:rPr>
        <w:t>7.24%、8.18%。</w:t>
      </w:r>
      <w:r>
        <w:rPr>
          <w:rFonts w:hint="default" w:ascii="Times New Roman" w:hAnsi="Times New Roman" w:cs="Times New Roman"/>
          <w:color w:val="auto"/>
          <w:highlight w:val="none"/>
          <w:lang w:val="en-US" w:eastAsia="zh-CN"/>
        </w:rPr>
        <w:t>住房、通讯、电脑、家庭用车消费大幅度增长，人民生活更加富裕、更有质量。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b/>
          <w:bCs/>
          <w:color w:val="auto"/>
          <w:highlight w:val="none"/>
          <w:lang w:val="en-US" w:eastAsia="zh-CN"/>
        </w:rPr>
        <w:t>党的建设全面加强。</w:t>
      </w:r>
      <w:r>
        <w:rPr>
          <w:rFonts w:hint="default" w:ascii="Times New Roman" w:hAnsi="Times New Roman" w:cs="Times New Roman"/>
          <w:color w:val="auto"/>
          <w:highlight w:val="none"/>
          <w:lang w:val="en-US" w:eastAsia="zh-CN"/>
        </w:rPr>
        <w:t>领导班子和干部队伍建设不断加强，基层基础更加坚实，修复净化党内政治生态取得阶段性成效，形式主义官僚主义专项整治行动深入开展，干部队伍作风持续好转，党风廉政建设和反腐败斗争深入推进。经过全县上下的不懈努力，</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十三五</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规划顺利收官，全面建成小康社会胜利在望，为开启全面建设社会主义现代化新征程奠定了坚实基础。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kern w:val="0"/>
          <w:sz w:val="32"/>
          <w:szCs w:val="32"/>
          <w:u w:val="none" w:color="auto"/>
        </w:rPr>
        <w:t>经过</w:t>
      </w:r>
      <w:r>
        <w:rPr>
          <w:rFonts w:hint="eastAsia" w:ascii="Times New Roman" w:hAnsi="Times New Roman" w:cs="Times New Roman"/>
          <w:kern w:val="0"/>
          <w:sz w:val="32"/>
          <w:szCs w:val="32"/>
          <w:u w:val="none" w:color="auto"/>
          <w:lang w:eastAsia="zh-CN"/>
        </w:rPr>
        <w:t>“</w:t>
      </w:r>
      <w:r>
        <w:rPr>
          <w:rFonts w:hint="default" w:ascii="Times New Roman" w:hAnsi="Times New Roman" w:eastAsia="仿宋_GB2312" w:cs="Times New Roman"/>
          <w:kern w:val="0"/>
          <w:sz w:val="32"/>
          <w:szCs w:val="32"/>
          <w:u w:val="none" w:color="auto"/>
        </w:rPr>
        <w:t>十三五</w:t>
      </w:r>
      <w:r>
        <w:rPr>
          <w:rFonts w:hint="eastAsia" w:ascii="Times New Roman" w:hAnsi="Times New Roman" w:cs="Times New Roman"/>
          <w:kern w:val="0"/>
          <w:sz w:val="32"/>
          <w:szCs w:val="32"/>
          <w:u w:val="none" w:color="auto"/>
          <w:lang w:eastAsia="zh-CN"/>
        </w:rPr>
        <w:t>”</w:t>
      </w:r>
      <w:r>
        <w:rPr>
          <w:rFonts w:hint="default" w:ascii="Times New Roman" w:hAnsi="Times New Roman" w:eastAsia="仿宋_GB2312" w:cs="Times New Roman"/>
          <w:kern w:val="0"/>
          <w:sz w:val="32"/>
          <w:szCs w:val="32"/>
          <w:u w:val="none" w:color="auto"/>
        </w:rPr>
        <w:t>的实践，我们进一步</w:t>
      </w:r>
      <w:r>
        <w:rPr>
          <w:rFonts w:hint="default" w:ascii="Times New Roman" w:hAnsi="Times New Roman" w:eastAsia="仿宋_GB2312" w:cs="Times New Roman"/>
          <w:color w:val="000000"/>
          <w:sz w:val="32"/>
          <w:szCs w:val="32"/>
          <w:u w:val="none" w:color="auto"/>
          <w:shd w:val="clear" w:color="auto" w:fill="FFFFFF"/>
          <w:lang w:val="en-US" w:eastAsia="zh-CN"/>
        </w:rPr>
        <w:t>深化了对发展规律的认识</w:t>
      </w:r>
      <w:r>
        <w:rPr>
          <w:rFonts w:hint="default" w:ascii="Times New Roman" w:hAnsi="Times New Roman" w:eastAsia="仿宋_GB2312" w:cs="Times New Roman"/>
          <w:color w:val="000000"/>
          <w:sz w:val="32"/>
          <w:szCs w:val="32"/>
          <w:u w:val="none" w:color="auto"/>
          <w:shd w:val="clear" w:color="auto" w:fill="FFFFFF"/>
        </w:rPr>
        <w:t>，积累了宝贵的发展经验。</w:t>
      </w:r>
      <w:r>
        <w:rPr>
          <w:rFonts w:hint="default" w:ascii="Times New Roman" w:hAnsi="Times New Roman" w:cs="Times New Roman"/>
          <w:b/>
          <w:bCs/>
          <w:color w:val="000000"/>
          <w:sz w:val="32"/>
          <w:szCs w:val="32"/>
          <w:u w:val="none" w:color="auto"/>
          <w:shd w:val="clear" w:color="auto" w:fill="FFFFFF"/>
          <w:lang w:eastAsia="zh-CN"/>
        </w:rPr>
        <w:t>一是</w:t>
      </w:r>
      <w:r>
        <w:rPr>
          <w:rFonts w:hint="default" w:ascii="Times New Roman" w:hAnsi="Times New Roman" w:cs="Times New Roman"/>
          <w:color w:val="auto"/>
          <w:highlight w:val="none"/>
          <w:lang w:val="en-US" w:eastAsia="zh-CN"/>
        </w:rPr>
        <w:t>必须</w:t>
      </w:r>
      <w:r>
        <w:rPr>
          <w:rFonts w:hint="eastAsia" w:cs="Times New Roman"/>
          <w:color w:val="auto"/>
          <w:highlight w:val="none"/>
          <w:lang w:val="en-US" w:eastAsia="zh-CN"/>
        </w:rPr>
        <w:t>坚持</w:t>
      </w:r>
      <w:r>
        <w:rPr>
          <w:rFonts w:hint="default" w:ascii="Times New Roman" w:hAnsi="Times New Roman" w:cs="Times New Roman"/>
          <w:color w:val="auto"/>
          <w:highlight w:val="none"/>
          <w:lang w:val="en-US" w:eastAsia="zh-CN"/>
        </w:rPr>
        <w:t>解放思想，</w:t>
      </w:r>
      <w:r>
        <w:rPr>
          <w:rFonts w:hint="default" w:ascii="Times New Roman" w:hAnsi="Times New Roman" w:eastAsia="仿宋_GB2312" w:cs="Times New Roman"/>
          <w:color w:val="auto"/>
          <w:kern w:val="2"/>
          <w:sz w:val="32"/>
          <w:szCs w:val="24"/>
          <w:highlight w:val="none"/>
          <w:u w:val="none" w:color="auto"/>
          <w:lang w:val="en-US" w:eastAsia="zh-CN"/>
        </w:rPr>
        <w:t>尊重客观规律，破除思想障碍，转变观念</w:t>
      </w:r>
      <w:r>
        <w:rPr>
          <w:rFonts w:hint="default" w:ascii="Times New Roman" w:hAnsi="Times New Roman" w:cs="Times New Roman"/>
          <w:color w:val="auto"/>
          <w:kern w:val="2"/>
          <w:sz w:val="32"/>
          <w:szCs w:val="24"/>
          <w:highlight w:val="none"/>
          <w:u w:val="none" w:color="auto"/>
          <w:lang w:val="en-US" w:eastAsia="zh-CN"/>
        </w:rPr>
        <w:t>、</w:t>
      </w:r>
      <w:r>
        <w:rPr>
          <w:rFonts w:hint="default" w:ascii="Times New Roman" w:hAnsi="Times New Roman" w:eastAsia="仿宋_GB2312" w:cs="Times New Roman"/>
          <w:color w:val="auto"/>
          <w:kern w:val="2"/>
          <w:sz w:val="32"/>
          <w:szCs w:val="24"/>
          <w:highlight w:val="none"/>
          <w:u w:val="none" w:color="auto"/>
          <w:lang w:val="en-US" w:eastAsia="zh-CN"/>
        </w:rPr>
        <w:t>更新思维，</w:t>
      </w:r>
      <w:r>
        <w:rPr>
          <w:rFonts w:hint="eastAsia" w:cs="Times New Roman"/>
          <w:color w:val="auto"/>
          <w:kern w:val="2"/>
          <w:sz w:val="32"/>
          <w:szCs w:val="24"/>
          <w:highlight w:val="none"/>
          <w:u w:val="none" w:color="auto"/>
          <w:lang w:val="en-US" w:eastAsia="zh-CN"/>
        </w:rPr>
        <w:t>以更大力度加快</w:t>
      </w:r>
      <w:r>
        <w:rPr>
          <w:rFonts w:hint="default" w:ascii="Times New Roman" w:hAnsi="Times New Roman" w:cs="Times New Roman"/>
          <w:color w:val="auto"/>
          <w:highlight w:val="none"/>
          <w:lang w:val="en-US" w:eastAsia="zh-CN"/>
        </w:rPr>
        <w:t>促进经济社会的大发展。</w:t>
      </w:r>
      <w:r>
        <w:rPr>
          <w:rFonts w:hint="default" w:ascii="Times New Roman" w:hAnsi="Times New Roman" w:cs="Times New Roman"/>
          <w:b/>
          <w:bCs/>
          <w:color w:val="auto"/>
          <w:highlight w:val="none"/>
          <w:lang w:val="en-US" w:eastAsia="zh-CN"/>
        </w:rPr>
        <w:t>二是</w:t>
      </w:r>
      <w:r>
        <w:rPr>
          <w:rFonts w:hint="default" w:ascii="Times New Roman" w:hAnsi="Times New Roman" w:cs="Times New Roman"/>
          <w:color w:val="auto"/>
          <w:highlight w:val="none"/>
          <w:lang w:val="en-US" w:eastAsia="zh-CN"/>
        </w:rPr>
        <w:t>必须</w:t>
      </w:r>
      <w:r>
        <w:rPr>
          <w:rFonts w:hint="eastAsia" w:cs="Times New Roman"/>
          <w:color w:val="auto"/>
          <w:highlight w:val="none"/>
          <w:lang w:val="en-US" w:eastAsia="zh-CN"/>
        </w:rPr>
        <w:t>以高质量</w:t>
      </w:r>
      <w:r>
        <w:rPr>
          <w:rFonts w:hint="default" w:ascii="Times New Roman" w:hAnsi="Times New Roman" w:cs="Times New Roman"/>
          <w:color w:val="auto"/>
          <w:highlight w:val="none"/>
          <w:lang w:val="en-US" w:eastAsia="zh-CN"/>
        </w:rPr>
        <w:t>发展</w:t>
      </w:r>
      <w:r>
        <w:rPr>
          <w:rFonts w:hint="eastAsia" w:cs="Times New Roman"/>
          <w:color w:val="auto"/>
          <w:highlight w:val="none"/>
          <w:lang w:val="en-US" w:eastAsia="zh-CN"/>
        </w:rPr>
        <w:t>为主题</w:t>
      </w:r>
      <w:r>
        <w:rPr>
          <w:rFonts w:hint="default" w:ascii="Times New Roman" w:hAnsi="Times New Roman" w:cs="Times New Roman"/>
          <w:color w:val="auto"/>
          <w:highlight w:val="none"/>
          <w:lang w:val="en-US" w:eastAsia="zh-CN"/>
        </w:rPr>
        <w:t>，</w:t>
      </w:r>
      <w:r>
        <w:rPr>
          <w:rFonts w:hint="eastAsia" w:cs="Times New Roman"/>
          <w:color w:val="auto"/>
          <w:highlight w:val="none"/>
          <w:lang w:val="en-US" w:eastAsia="zh-CN"/>
        </w:rPr>
        <w:t>依托资源优势，</w:t>
      </w:r>
      <w:r>
        <w:rPr>
          <w:rFonts w:hint="default" w:ascii="Times New Roman" w:hAnsi="Times New Roman" w:eastAsia="仿宋_GB2312" w:cs="Times New Roman"/>
          <w:color w:val="auto"/>
          <w:kern w:val="2"/>
          <w:sz w:val="32"/>
          <w:szCs w:val="24"/>
          <w:highlight w:val="none"/>
          <w:u w:val="none" w:color="auto"/>
          <w:lang w:val="en-US" w:eastAsia="zh-CN"/>
        </w:rPr>
        <w:t>抓项目、夯基础、育产业、促转型、优环境，才能更好地适应和引领经济发展新格局</w:t>
      </w:r>
      <w:r>
        <w:rPr>
          <w:rFonts w:hint="default" w:ascii="Times New Roman" w:hAnsi="Times New Roman" w:cs="Times New Roman"/>
          <w:color w:val="auto"/>
          <w:kern w:val="2"/>
          <w:sz w:val="32"/>
          <w:szCs w:val="24"/>
          <w:highlight w:val="none"/>
          <w:u w:val="none" w:color="auto"/>
          <w:lang w:val="en-US" w:eastAsia="zh-CN"/>
        </w:rPr>
        <w:t>。</w:t>
      </w:r>
      <w:r>
        <w:rPr>
          <w:rFonts w:hint="default" w:ascii="Times New Roman" w:hAnsi="Times New Roman" w:cs="Times New Roman"/>
          <w:b/>
          <w:bCs/>
          <w:color w:val="auto"/>
          <w:kern w:val="2"/>
          <w:sz w:val="32"/>
          <w:szCs w:val="24"/>
          <w:highlight w:val="none"/>
          <w:u w:val="none" w:color="auto"/>
          <w:lang w:val="en-US" w:eastAsia="zh-CN"/>
        </w:rPr>
        <w:t>三是</w:t>
      </w:r>
      <w:r>
        <w:rPr>
          <w:rFonts w:hint="default" w:ascii="Times New Roman" w:hAnsi="Times New Roman" w:cs="Times New Roman"/>
          <w:color w:val="auto"/>
          <w:highlight w:val="none"/>
          <w:lang w:val="en-US" w:eastAsia="zh-CN"/>
        </w:rPr>
        <w:t>必须坚持以人民为中心的发展思想，</w:t>
      </w:r>
      <w:r>
        <w:rPr>
          <w:rFonts w:hint="default" w:ascii="Times New Roman" w:hAnsi="Times New Roman" w:eastAsia="仿宋_GB2312" w:cs="Times New Roman"/>
          <w:color w:val="auto"/>
          <w:kern w:val="2"/>
          <w:sz w:val="32"/>
          <w:szCs w:val="24"/>
          <w:highlight w:val="none"/>
          <w:u w:val="none" w:color="auto"/>
        </w:rPr>
        <w:t>把人民对美好生活的向往</w:t>
      </w:r>
      <w:r>
        <w:rPr>
          <w:rFonts w:hint="default" w:ascii="Times New Roman" w:hAnsi="Times New Roman" w:cs="Times New Roman"/>
          <w:color w:val="auto"/>
          <w:kern w:val="2"/>
          <w:sz w:val="32"/>
          <w:szCs w:val="24"/>
          <w:highlight w:val="none"/>
          <w:u w:val="none" w:color="auto"/>
          <w:lang w:eastAsia="zh-CN"/>
        </w:rPr>
        <w:t>作为</w:t>
      </w:r>
      <w:r>
        <w:rPr>
          <w:rFonts w:hint="default" w:ascii="Times New Roman" w:hAnsi="Times New Roman" w:eastAsia="仿宋_GB2312" w:cs="Times New Roman"/>
          <w:kern w:val="0"/>
          <w:sz w:val="32"/>
          <w:szCs w:val="32"/>
          <w:u w:val="none" w:color="auto"/>
          <w:lang w:val="en-US" w:eastAsia="zh-CN"/>
        </w:rPr>
        <w:t>定思路、作决策、谋发展、抓落实的出发点和落脚点</w:t>
      </w:r>
      <w:r>
        <w:rPr>
          <w:rFonts w:hint="default" w:ascii="Times New Roman" w:hAnsi="Times New Roman" w:cs="Times New Roman"/>
          <w:color w:val="auto"/>
          <w:highlight w:val="none"/>
          <w:lang w:val="en-US" w:eastAsia="zh-CN"/>
        </w:rPr>
        <w:t>。</w:t>
      </w:r>
      <w:r>
        <w:rPr>
          <w:rFonts w:hint="default" w:ascii="Times New Roman" w:hAnsi="Times New Roman" w:cs="Times New Roman"/>
          <w:b/>
          <w:bCs/>
          <w:color w:val="auto"/>
          <w:highlight w:val="none"/>
          <w:lang w:val="en-US" w:eastAsia="zh-CN"/>
        </w:rPr>
        <w:t>四是</w:t>
      </w:r>
      <w:r>
        <w:rPr>
          <w:rFonts w:hint="default" w:ascii="Times New Roman" w:hAnsi="Times New Roman" w:cs="Times New Roman"/>
          <w:color w:val="auto"/>
          <w:highlight w:val="none"/>
          <w:lang w:val="en-US" w:eastAsia="zh-CN"/>
        </w:rPr>
        <w:t>必须</w:t>
      </w:r>
      <w:r>
        <w:rPr>
          <w:rFonts w:hint="default" w:ascii="Times New Roman" w:hAnsi="Times New Roman" w:eastAsia="仿宋_GB2312" w:cs="Times New Roman"/>
          <w:color w:val="auto"/>
          <w:kern w:val="2"/>
          <w:sz w:val="32"/>
          <w:szCs w:val="24"/>
          <w:highlight w:val="none"/>
          <w:u w:val="none" w:color="auto"/>
          <w:lang w:val="en-US" w:eastAsia="zh-CN"/>
        </w:rPr>
        <w:t>突出</w:t>
      </w:r>
      <w:r>
        <w:rPr>
          <w:rFonts w:hint="default" w:ascii="Times New Roman" w:hAnsi="Times New Roman" w:eastAsia="仿宋_GB2312" w:cs="Times New Roman"/>
          <w:color w:val="auto"/>
          <w:kern w:val="2"/>
          <w:sz w:val="32"/>
          <w:szCs w:val="24"/>
          <w:highlight w:val="none"/>
          <w:u w:val="none" w:color="auto"/>
        </w:rPr>
        <w:t>体制机制创新</w:t>
      </w:r>
      <w:r>
        <w:rPr>
          <w:rFonts w:hint="default" w:ascii="Times New Roman" w:hAnsi="Times New Roman" w:cs="Times New Roman"/>
          <w:color w:val="auto"/>
          <w:kern w:val="2"/>
          <w:sz w:val="32"/>
          <w:szCs w:val="24"/>
          <w:highlight w:val="none"/>
          <w:u w:val="none" w:color="auto"/>
          <w:lang w:eastAsia="zh-CN"/>
        </w:rPr>
        <w:t>，</w:t>
      </w:r>
      <w:r>
        <w:rPr>
          <w:rFonts w:hint="default" w:ascii="Times New Roman" w:hAnsi="Times New Roman" w:cs="Times New Roman"/>
          <w:color w:val="auto"/>
          <w:highlight w:val="none"/>
          <w:lang w:val="en-US" w:eastAsia="zh-CN"/>
        </w:rPr>
        <w:t>正视困难</w:t>
      </w:r>
      <w:r>
        <w:rPr>
          <w:rFonts w:hint="default" w:ascii="Times New Roman" w:hAnsi="Times New Roman" w:eastAsia="仿宋_GB2312" w:cs="Times New Roman"/>
          <w:color w:val="auto"/>
          <w:kern w:val="2"/>
          <w:sz w:val="32"/>
          <w:szCs w:val="24"/>
          <w:highlight w:val="none"/>
          <w:u w:val="none" w:color="auto"/>
          <w:lang w:val="en-US" w:eastAsia="zh-CN"/>
        </w:rPr>
        <w:t>问题，破解瓶颈制约</w:t>
      </w:r>
      <w:r>
        <w:rPr>
          <w:rFonts w:hint="default" w:ascii="Times New Roman" w:hAnsi="Times New Roman" w:cs="Times New Roman"/>
          <w:color w:val="auto"/>
          <w:highlight w:val="none"/>
          <w:lang w:val="en-US" w:eastAsia="zh-CN"/>
        </w:rPr>
        <w:t>，用改革和发展的办法解决前进中的困难和问题。</w:t>
      </w:r>
      <w:r>
        <w:rPr>
          <w:rFonts w:hint="default" w:ascii="Times New Roman" w:hAnsi="Times New Roman" w:cs="Times New Roman"/>
          <w:b/>
          <w:bCs/>
          <w:color w:val="auto"/>
          <w:highlight w:val="none"/>
          <w:lang w:val="en-US" w:eastAsia="zh-CN"/>
        </w:rPr>
        <w:t>五是</w:t>
      </w:r>
      <w:r>
        <w:rPr>
          <w:rFonts w:hint="default" w:ascii="Times New Roman" w:hAnsi="Times New Roman" w:cs="Times New Roman"/>
          <w:color w:val="auto"/>
          <w:highlight w:val="none"/>
          <w:lang w:val="en-US" w:eastAsia="zh-CN"/>
        </w:rPr>
        <w:t>必须加强党的领导，</w:t>
      </w:r>
      <w:r>
        <w:rPr>
          <w:rFonts w:hint="default" w:ascii="Times New Roman" w:hAnsi="Times New Roman" w:eastAsia="仿宋_GB2312" w:cs="Times New Roman"/>
          <w:color w:val="auto"/>
          <w:kern w:val="2"/>
          <w:sz w:val="32"/>
          <w:szCs w:val="24"/>
          <w:highlight w:val="none"/>
          <w:u w:val="none" w:color="auto"/>
          <w:lang w:val="en-US" w:eastAsia="zh-CN"/>
        </w:rPr>
        <w:t>全面推进党的政治、思想、组织、作风、纪律、制度建设，加强党风廉政建设，</w:t>
      </w:r>
      <w:r>
        <w:rPr>
          <w:rFonts w:hint="default" w:ascii="Times New Roman" w:hAnsi="Times New Roman" w:cs="Times New Roman"/>
          <w:color w:val="auto"/>
          <w:highlight w:val="none"/>
          <w:lang w:val="en-US" w:eastAsia="zh-CN"/>
        </w:rPr>
        <w:t>建好班子、带好队伍，</w:t>
      </w:r>
      <w:r>
        <w:rPr>
          <w:rFonts w:hint="default" w:ascii="Times New Roman" w:hAnsi="Times New Roman" w:eastAsia="仿宋_GB2312" w:cs="Times New Roman"/>
          <w:color w:val="auto"/>
          <w:kern w:val="2"/>
          <w:sz w:val="32"/>
          <w:szCs w:val="24"/>
          <w:highlight w:val="none"/>
          <w:u w:val="none" w:color="auto"/>
          <w:lang w:val="en-US" w:eastAsia="zh-CN"/>
        </w:rPr>
        <w:t>引领和</w:t>
      </w:r>
      <w:r>
        <w:rPr>
          <w:rFonts w:hint="default" w:ascii="Times New Roman" w:hAnsi="Times New Roman" w:cs="Times New Roman"/>
          <w:color w:val="auto"/>
          <w:highlight w:val="none"/>
          <w:lang w:val="en-US" w:eastAsia="zh-CN"/>
        </w:rPr>
        <w:t>推动</w:t>
      </w:r>
      <w:r>
        <w:rPr>
          <w:rFonts w:hint="default" w:ascii="Times New Roman" w:hAnsi="Times New Roman" w:eastAsia="仿宋_GB2312" w:cs="Times New Roman"/>
          <w:color w:val="auto"/>
          <w:kern w:val="2"/>
          <w:sz w:val="32"/>
          <w:szCs w:val="24"/>
          <w:highlight w:val="none"/>
          <w:u w:val="none" w:color="auto"/>
          <w:lang w:val="en-US" w:eastAsia="zh-CN"/>
        </w:rPr>
        <w:t>各项事业持续健康</w:t>
      </w:r>
      <w:r>
        <w:rPr>
          <w:rFonts w:hint="default" w:ascii="Times New Roman" w:hAnsi="Times New Roman" w:cs="Times New Roman"/>
          <w:color w:val="auto"/>
          <w:highlight w:val="none"/>
          <w:lang w:val="en-US" w:eastAsia="zh-CN"/>
        </w:rPr>
        <w:t>发展。</w:t>
      </w:r>
    </w:p>
    <w:tbl>
      <w:tblPr>
        <w:tblStyle w:val="18"/>
        <w:tblW w:w="4998" w:type="pct"/>
        <w:tblInd w:w="0" w:type="dxa"/>
        <w:shd w:val="clear" w:color="auto" w:fill="auto"/>
        <w:tblLayout w:type="autofit"/>
        <w:tblCellMar>
          <w:top w:w="0" w:type="dxa"/>
          <w:left w:w="0" w:type="dxa"/>
          <w:bottom w:w="0" w:type="dxa"/>
          <w:right w:w="0" w:type="dxa"/>
        </w:tblCellMar>
      </w:tblPr>
      <w:tblGrid>
        <w:gridCol w:w="631"/>
        <w:gridCol w:w="3197"/>
        <w:gridCol w:w="710"/>
        <w:gridCol w:w="1396"/>
        <w:gridCol w:w="1400"/>
        <w:gridCol w:w="1536"/>
      </w:tblGrid>
      <w:tr>
        <w:tblPrEx>
          <w:shd w:val="clear" w:color="auto" w:fill="auto"/>
          <w:tblCellMar>
            <w:top w:w="0" w:type="dxa"/>
            <w:left w:w="0" w:type="dxa"/>
            <w:bottom w:w="0" w:type="dxa"/>
            <w:right w:w="0" w:type="dxa"/>
          </w:tblCellMar>
        </w:tblPrEx>
        <w:trPr>
          <w:trHeight w:val="23" w:hRule="atLeast"/>
          <w:tblHeader/>
        </w:trPr>
        <w:tc>
          <w:tcPr>
            <w:tcW w:w="5000" w:type="pct"/>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Style w:val="28"/>
                <w:rFonts w:hint="default" w:ascii="Times New Roman" w:hAnsi="Times New Roman" w:cs="Times New Roman" w:eastAsiaTheme="minorEastAsia"/>
                <w:i w:val="0"/>
                <w:color w:val="auto"/>
                <w:sz w:val="24"/>
                <w:szCs w:val="24"/>
                <w:highlight w:val="none"/>
                <w:lang w:val="en-US" w:eastAsia="zh-CN" w:bidi="ar"/>
              </w:rPr>
            </w:pPr>
            <w:r>
              <w:rPr>
                <w:rFonts w:hint="eastAsia" w:eastAsia="黑体" w:cs="Times New Roman"/>
                <w:b w:val="0"/>
                <w:bCs/>
                <w:color w:val="auto"/>
                <w:sz w:val="24"/>
                <w:szCs w:val="20"/>
                <w:highlight w:val="none"/>
                <w:lang w:val="en-US" w:eastAsia="zh-CN"/>
              </w:rPr>
              <w:t>专栏</w:t>
            </w:r>
            <w:r>
              <w:rPr>
                <w:rFonts w:hint="default" w:ascii="Times New Roman" w:hAnsi="Times New Roman" w:eastAsia="黑体" w:cs="Times New Roman"/>
                <w:b w:val="0"/>
                <w:bCs/>
                <w:color w:val="auto"/>
                <w:sz w:val="24"/>
                <w:szCs w:val="20"/>
                <w:highlight w:val="none"/>
              </w:rPr>
              <w:t xml:space="preserve">1  </w:t>
            </w:r>
            <w:r>
              <w:rPr>
                <w:rFonts w:hint="default" w:ascii="Times New Roman" w:hAnsi="Times New Roman" w:eastAsia="黑体" w:cs="Times New Roman"/>
                <w:b w:val="0"/>
                <w:bCs/>
                <w:color w:val="auto"/>
                <w:sz w:val="24"/>
                <w:szCs w:val="20"/>
                <w:highlight w:val="none"/>
                <w:lang w:eastAsia="zh-CN"/>
              </w:rPr>
              <w:t>正宁县</w:t>
            </w:r>
            <w:r>
              <w:rPr>
                <w:rFonts w:hint="eastAsia" w:ascii="Times New Roman" w:hAnsi="Times New Roman" w:eastAsia="黑体" w:cs="Times New Roman"/>
                <w:b w:val="0"/>
                <w:bCs/>
                <w:color w:val="auto"/>
                <w:sz w:val="24"/>
                <w:szCs w:val="20"/>
                <w:highlight w:val="none"/>
                <w:lang w:eastAsia="zh-CN"/>
              </w:rPr>
              <w:t>“</w:t>
            </w:r>
            <w:r>
              <w:rPr>
                <w:rFonts w:hint="default" w:ascii="Times New Roman" w:hAnsi="Times New Roman" w:eastAsia="黑体" w:cs="Times New Roman"/>
                <w:b w:val="0"/>
                <w:bCs/>
                <w:color w:val="auto"/>
                <w:sz w:val="24"/>
                <w:szCs w:val="20"/>
                <w:highlight w:val="none"/>
              </w:rPr>
              <w:t>十三五</w:t>
            </w:r>
            <w:r>
              <w:rPr>
                <w:rFonts w:hint="eastAsia" w:ascii="Times New Roman" w:hAnsi="Times New Roman" w:eastAsia="黑体" w:cs="Times New Roman"/>
                <w:b w:val="0"/>
                <w:bCs/>
                <w:color w:val="auto"/>
                <w:sz w:val="24"/>
                <w:szCs w:val="20"/>
                <w:highlight w:val="none"/>
                <w:lang w:eastAsia="zh-CN"/>
              </w:rPr>
              <w:t>”</w:t>
            </w:r>
            <w:r>
              <w:rPr>
                <w:rFonts w:hint="default" w:ascii="Times New Roman" w:hAnsi="Times New Roman" w:eastAsia="黑体" w:cs="Times New Roman"/>
                <w:b w:val="0"/>
                <w:bCs/>
                <w:color w:val="auto"/>
                <w:sz w:val="24"/>
                <w:szCs w:val="20"/>
                <w:highlight w:val="none"/>
              </w:rPr>
              <w:t>规划《纲要》主要指标完成情况</w:t>
            </w:r>
          </w:p>
        </w:tc>
      </w:tr>
      <w:tr>
        <w:tblPrEx>
          <w:tblCellMar>
            <w:top w:w="0" w:type="dxa"/>
            <w:left w:w="0" w:type="dxa"/>
            <w:bottom w:w="0" w:type="dxa"/>
            <w:right w:w="0" w:type="dxa"/>
          </w:tblCellMar>
        </w:tblPrEx>
        <w:trPr>
          <w:trHeight w:val="23" w:hRule="atLeast"/>
          <w:tblHeader/>
        </w:trPr>
        <w:tc>
          <w:tcPr>
            <w:tcW w:w="2158" w:type="pct"/>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名     称</w:t>
            </w:r>
          </w:p>
        </w:tc>
        <w:tc>
          <w:tcPr>
            <w:tcW w:w="40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单位</w:t>
            </w:r>
          </w:p>
        </w:tc>
        <w:tc>
          <w:tcPr>
            <w:tcW w:w="78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2015年实际</w:t>
            </w:r>
          </w:p>
        </w:tc>
        <w:tc>
          <w:tcPr>
            <w:tcW w:w="1654"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2020年实际完成</w:t>
            </w:r>
          </w:p>
        </w:tc>
      </w:tr>
      <w:tr>
        <w:tblPrEx>
          <w:tblCellMar>
            <w:top w:w="0" w:type="dxa"/>
            <w:left w:w="0" w:type="dxa"/>
            <w:bottom w:w="0" w:type="dxa"/>
            <w:right w:w="0" w:type="dxa"/>
          </w:tblCellMar>
        </w:tblPrEx>
        <w:trPr>
          <w:trHeight w:val="721" w:hRule="atLeast"/>
          <w:tblHeader/>
        </w:trPr>
        <w:tc>
          <w:tcPr>
            <w:tcW w:w="2158" w:type="pct"/>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40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78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总量</w:t>
            </w:r>
          </w:p>
        </w:tc>
        <w:tc>
          <w:tcPr>
            <w:tcW w:w="78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总量</w:t>
            </w:r>
          </w:p>
        </w:tc>
        <w:tc>
          <w:tcPr>
            <w:tcW w:w="8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eastAsia" w:ascii="Times New Roman" w:hAnsi="Times New Roman" w:cs="Times New Roman" w:eastAsiaTheme="minorEastAsia"/>
                <w:i w:val="0"/>
                <w:color w:val="auto"/>
                <w:sz w:val="24"/>
                <w:szCs w:val="24"/>
                <w:highlight w:val="none"/>
                <w:lang w:val="en-US" w:eastAsia="zh-CN" w:bidi="ar"/>
              </w:rPr>
              <w:t>“</w:t>
            </w:r>
            <w:r>
              <w:rPr>
                <w:rStyle w:val="28"/>
                <w:rFonts w:hint="default" w:ascii="Times New Roman" w:hAnsi="Times New Roman" w:cs="Times New Roman" w:eastAsiaTheme="minorEastAsia"/>
                <w:i w:val="0"/>
                <w:color w:val="auto"/>
                <w:sz w:val="24"/>
                <w:szCs w:val="24"/>
                <w:highlight w:val="none"/>
                <w:lang w:val="en-US" w:eastAsia="zh-CN" w:bidi="ar"/>
              </w:rPr>
              <w:t>十三五</w:t>
            </w:r>
            <w:r>
              <w:rPr>
                <w:rStyle w:val="28"/>
                <w:rFonts w:hint="eastAsia" w:ascii="Times New Roman" w:hAnsi="Times New Roman" w:cs="Times New Roman" w:eastAsiaTheme="minorEastAsia"/>
                <w:i w:val="0"/>
                <w:color w:val="auto"/>
                <w:sz w:val="24"/>
                <w:szCs w:val="24"/>
                <w:highlight w:val="none"/>
                <w:lang w:val="en-US" w:eastAsia="zh-CN" w:bidi="ar"/>
              </w:rPr>
              <w:t>”</w:t>
            </w:r>
            <w:r>
              <w:rPr>
                <w:rStyle w:val="28"/>
                <w:rFonts w:hint="default" w:ascii="Times New Roman" w:hAnsi="Times New Roman" w:cs="Times New Roman" w:eastAsiaTheme="minorEastAsia"/>
                <w:i w:val="0"/>
                <w:color w:val="auto"/>
                <w:sz w:val="24"/>
                <w:szCs w:val="24"/>
                <w:highlight w:val="none"/>
                <w:lang w:val="en-US" w:eastAsia="zh-CN" w:bidi="ar"/>
              </w:rPr>
              <w:t>年均增长（%）</w:t>
            </w:r>
          </w:p>
        </w:tc>
      </w:tr>
      <w:tr>
        <w:tblPrEx>
          <w:tblCellMar>
            <w:top w:w="0" w:type="dxa"/>
            <w:left w:w="0" w:type="dxa"/>
            <w:bottom w:w="0" w:type="dxa"/>
            <w:right w:w="0" w:type="dxa"/>
          </w:tblCellMar>
        </w:tblPrEx>
        <w:trPr>
          <w:trHeight w:val="23" w:hRule="atLeast"/>
        </w:trPr>
        <w:tc>
          <w:tcPr>
            <w:tcW w:w="356" w:type="pct"/>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综合经济目标</w:t>
            </w:r>
          </w:p>
        </w:tc>
        <w:tc>
          <w:tcPr>
            <w:tcW w:w="1801"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地区生产总值</w:t>
            </w:r>
          </w:p>
        </w:tc>
        <w:tc>
          <w:tcPr>
            <w:tcW w:w="400"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亿元</w:t>
            </w:r>
          </w:p>
        </w:tc>
        <w:tc>
          <w:tcPr>
            <w:tcW w:w="787"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25.89</w:t>
            </w:r>
          </w:p>
        </w:tc>
        <w:tc>
          <w:tcPr>
            <w:tcW w:w="789"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24.65</w:t>
            </w:r>
          </w:p>
        </w:tc>
        <w:tc>
          <w:tcPr>
            <w:tcW w:w="865"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5.1</w:t>
            </w:r>
          </w:p>
        </w:tc>
      </w:tr>
      <w:tr>
        <w:tblPrEx>
          <w:tblCellMar>
            <w:top w:w="0" w:type="dxa"/>
            <w:left w:w="0" w:type="dxa"/>
            <w:bottom w:w="0" w:type="dxa"/>
            <w:right w:w="0" w:type="dxa"/>
          </w:tblCellMar>
        </w:tblPrEx>
        <w:trPr>
          <w:trHeight w:val="23"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人均生产总值</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元</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14200</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12734</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r>
      <w:tr>
        <w:tblPrEx>
          <w:tblCellMar>
            <w:top w:w="0" w:type="dxa"/>
            <w:left w:w="0" w:type="dxa"/>
            <w:bottom w:w="0" w:type="dxa"/>
            <w:right w:w="0" w:type="dxa"/>
          </w:tblCellMar>
        </w:tblPrEx>
        <w:trPr>
          <w:trHeight w:val="23"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三次产业比例结构</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35:7:58</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color w:val="auto"/>
                <w:sz w:val="24"/>
                <w:highlight w:val="none"/>
                <w:lang w:bidi="ar"/>
              </w:rPr>
              <w:t>22.3:7.4:70.3</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r>
      <w:tr>
        <w:tblPrEx>
          <w:tblCellMar>
            <w:top w:w="0" w:type="dxa"/>
            <w:left w:w="0" w:type="dxa"/>
            <w:bottom w:w="0" w:type="dxa"/>
            <w:right w:w="0" w:type="dxa"/>
          </w:tblCellMar>
        </w:tblPrEx>
        <w:trPr>
          <w:trHeight w:val="23"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社会消费品零售总额</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亿元</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14.9</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11.01</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-3.5</w:t>
            </w:r>
          </w:p>
        </w:tc>
      </w:tr>
      <w:tr>
        <w:tblPrEx>
          <w:tblCellMar>
            <w:top w:w="0" w:type="dxa"/>
            <w:left w:w="0" w:type="dxa"/>
            <w:bottom w:w="0" w:type="dxa"/>
            <w:right w:w="0" w:type="dxa"/>
          </w:tblCellMar>
        </w:tblPrEx>
        <w:trPr>
          <w:trHeight w:val="23"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城镇化率（常住人口）</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31.58</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38.75</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[7.17]</w:t>
            </w:r>
          </w:p>
        </w:tc>
      </w:tr>
      <w:tr>
        <w:tblPrEx>
          <w:tblCellMar>
            <w:top w:w="0" w:type="dxa"/>
            <w:left w:w="0" w:type="dxa"/>
            <w:bottom w:w="0" w:type="dxa"/>
            <w:right w:w="0" w:type="dxa"/>
          </w:tblCellMar>
        </w:tblPrEx>
        <w:trPr>
          <w:trHeight w:val="23"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固定资产投资</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亿元</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108.7</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29.98</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9.1</w:t>
            </w:r>
          </w:p>
        </w:tc>
      </w:tr>
      <w:tr>
        <w:tblPrEx>
          <w:tblCellMar>
            <w:top w:w="0" w:type="dxa"/>
            <w:left w:w="0" w:type="dxa"/>
            <w:bottom w:w="0" w:type="dxa"/>
            <w:right w:w="0" w:type="dxa"/>
          </w:tblCellMar>
        </w:tblPrEx>
        <w:trPr>
          <w:trHeight w:val="23"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大口径财政收入</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亿元</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2.22</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2.07</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-1.81</w:t>
            </w:r>
          </w:p>
        </w:tc>
      </w:tr>
      <w:tr>
        <w:tblPrEx>
          <w:tblCellMar>
            <w:top w:w="0" w:type="dxa"/>
            <w:left w:w="0" w:type="dxa"/>
            <w:bottom w:w="0" w:type="dxa"/>
            <w:right w:w="0" w:type="dxa"/>
          </w:tblCellMar>
        </w:tblPrEx>
        <w:trPr>
          <w:trHeight w:val="23"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公共财政预算收入</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亿元</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1.8</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1.13</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-4.51</w:t>
            </w:r>
          </w:p>
        </w:tc>
      </w:tr>
      <w:tr>
        <w:tblPrEx>
          <w:tblCellMar>
            <w:top w:w="0" w:type="dxa"/>
            <w:left w:w="0" w:type="dxa"/>
            <w:bottom w:w="0" w:type="dxa"/>
            <w:right w:w="0" w:type="dxa"/>
          </w:tblCellMar>
        </w:tblPrEx>
        <w:trPr>
          <w:trHeight w:val="23"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民生目标</w:t>
            </w: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城镇居民人均可支配收入</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元</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22475.2</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31874.97</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4.5</w:t>
            </w:r>
          </w:p>
        </w:tc>
      </w:tr>
      <w:tr>
        <w:tblPrEx>
          <w:tblCellMar>
            <w:top w:w="0" w:type="dxa"/>
            <w:left w:w="0" w:type="dxa"/>
            <w:bottom w:w="0" w:type="dxa"/>
            <w:right w:w="0" w:type="dxa"/>
          </w:tblCellMar>
        </w:tblPrEx>
        <w:trPr>
          <w:trHeight w:val="23"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农村居民人均可支配收入</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元</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7633.8</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11309.2</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7.2</w:t>
            </w:r>
          </w:p>
        </w:tc>
      </w:tr>
      <w:tr>
        <w:tblPrEx>
          <w:tblCellMar>
            <w:top w:w="0" w:type="dxa"/>
            <w:left w:w="0" w:type="dxa"/>
            <w:bottom w:w="0" w:type="dxa"/>
            <w:right w:w="0" w:type="dxa"/>
          </w:tblCellMar>
        </w:tblPrEx>
        <w:trPr>
          <w:trHeight w:val="23"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城镇新增就业人数</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万人</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0.8-1</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0.2698</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r>
      <w:tr>
        <w:tblPrEx>
          <w:tblCellMar>
            <w:top w:w="0" w:type="dxa"/>
            <w:left w:w="0" w:type="dxa"/>
            <w:bottom w:w="0" w:type="dxa"/>
            <w:right w:w="0" w:type="dxa"/>
          </w:tblCellMar>
        </w:tblPrEx>
        <w:trPr>
          <w:trHeight w:val="23"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城镇登记失业率</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&lt;4.0</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&lt;4.0</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r>
      <w:tr>
        <w:tblPrEx>
          <w:tblCellMar>
            <w:top w:w="0" w:type="dxa"/>
            <w:left w:w="0" w:type="dxa"/>
            <w:bottom w:w="0" w:type="dxa"/>
            <w:right w:w="0" w:type="dxa"/>
          </w:tblCellMar>
        </w:tblPrEx>
        <w:trPr>
          <w:trHeight w:val="23"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居民消费价格指数</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103</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r>
      <w:tr>
        <w:tblPrEx>
          <w:tblCellMar>
            <w:top w:w="0" w:type="dxa"/>
            <w:left w:w="0" w:type="dxa"/>
            <w:bottom w:w="0" w:type="dxa"/>
            <w:right w:w="0" w:type="dxa"/>
          </w:tblCellMar>
        </w:tblPrEx>
        <w:trPr>
          <w:trHeight w:val="23"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贫困发生率</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≤3</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0.35</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r>
      <w:tr>
        <w:tblPrEx>
          <w:tblCellMar>
            <w:top w:w="0" w:type="dxa"/>
            <w:left w:w="0" w:type="dxa"/>
            <w:bottom w:w="0" w:type="dxa"/>
            <w:right w:w="0" w:type="dxa"/>
          </w:tblCellMar>
        </w:tblPrEx>
        <w:trPr>
          <w:trHeight w:val="23"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城镇基本养老保险覆盖人数</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万人</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13.1</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13.9</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1.2</w:t>
            </w:r>
          </w:p>
        </w:tc>
      </w:tr>
      <w:tr>
        <w:tblPrEx>
          <w:tblCellMar>
            <w:top w:w="0" w:type="dxa"/>
            <w:left w:w="0" w:type="dxa"/>
            <w:bottom w:w="0" w:type="dxa"/>
            <w:right w:w="0" w:type="dxa"/>
          </w:tblCellMar>
        </w:tblPrEx>
        <w:trPr>
          <w:trHeight w:val="23"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城乡三项基本医疗保险参保率</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99.34</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99.5</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[0.16]</w:t>
            </w:r>
          </w:p>
        </w:tc>
      </w:tr>
      <w:tr>
        <w:tblPrEx>
          <w:tblCellMar>
            <w:top w:w="0" w:type="dxa"/>
            <w:left w:w="0" w:type="dxa"/>
            <w:bottom w:w="0" w:type="dxa"/>
            <w:right w:w="0" w:type="dxa"/>
          </w:tblCellMar>
        </w:tblPrEx>
        <w:trPr>
          <w:trHeight w:val="23"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常住人口</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万人</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18.21</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18.56</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[0.35]</w:t>
            </w:r>
          </w:p>
        </w:tc>
      </w:tr>
      <w:tr>
        <w:tblPrEx>
          <w:tblCellMar>
            <w:top w:w="0" w:type="dxa"/>
            <w:left w:w="0" w:type="dxa"/>
            <w:bottom w:w="0" w:type="dxa"/>
            <w:right w:w="0" w:type="dxa"/>
          </w:tblCellMar>
        </w:tblPrEx>
        <w:trPr>
          <w:trHeight w:val="23"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国际互联网用户普及率</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yellow"/>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r>
      <w:tr>
        <w:tblPrEx>
          <w:tblCellMar>
            <w:top w:w="0" w:type="dxa"/>
            <w:left w:w="0" w:type="dxa"/>
            <w:bottom w:w="0" w:type="dxa"/>
            <w:right w:w="0" w:type="dxa"/>
          </w:tblCellMar>
        </w:tblPrEx>
        <w:trPr>
          <w:trHeight w:val="23"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公共服务目标</w:t>
            </w: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研究与开发支出占生产总值比重</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0.15</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r>
      <w:tr>
        <w:tblPrEx>
          <w:tblCellMar>
            <w:top w:w="0" w:type="dxa"/>
            <w:left w:w="0" w:type="dxa"/>
            <w:bottom w:w="0" w:type="dxa"/>
            <w:right w:w="0" w:type="dxa"/>
          </w:tblCellMar>
        </w:tblPrEx>
        <w:trPr>
          <w:trHeight w:val="23"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文化及相关产业增加值占GDP比重</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5.3</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13.3</w:t>
            </w:r>
          </w:p>
        </w:tc>
      </w:tr>
      <w:tr>
        <w:tblPrEx>
          <w:tblCellMar>
            <w:top w:w="0" w:type="dxa"/>
            <w:left w:w="0" w:type="dxa"/>
            <w:bottom w:w="0" w:type="dxa"/>
            <w:right w:w="0" w:type="dxa"/>
          </w:tblCellMar>
        </w:tblPrEx>
        <w:trPr>
          <w:trHeight w:val="23"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学前教育三年毛入园率</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76.5</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96.61</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4.022</w:t>
            </w:r>
          </w:p>
        </w:tc>
      </w:tr>
      <w:tr>
        <w:tblPrEx>
          <w:tblCellMar>
            <w:top w:w="0" w:type="dxa"/>
            <w:left w:w="0" w:type="dxa"/>
            <w:bottom w:w="0" w:type="dxa"/>
            <w:right w:w="0" w:type="dxa"/>
          </w:tblCellMar>
        </w:tblPrEx>
        <w:trPr>
          <w:trHeight w:val="23"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国民人均受教育年限</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年</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9.8</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13.2</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0.68</w:t>
            </w:r>
          </w:p>
        </w:tc>
      </w:tr>
      <w:tr>
        <w:tblPrEx>
          <w:tblCellMar>
            <w:top w:w="0" w:type="dxa"/>
            <w:left w:w="0" w:type="dxa"/>
            <w:bottom w:w="0" w:type="dxa"/>
            <w:right w:w="0" w:type="dxa"/>
          </w:tblCellMar>
        </w:tblPrEx>
        <w:trPr>
          <w:trHeight w:val="23"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高中阶段毛入学率</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85</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94.19</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1.838</w:t>
            </w:r>
          </w:p>
        </w:tc>
      </w:tr>
      <w:tr>
        <w:tblPrEx>
          <w:tblCellMar>
            <w:top w:w="0" w:type="dxa"/>
            <w:left w:w="0" w:type="dxa"/>
            <w:bottom w:w="0" w:type="dxa"/>
            <w:right w:w="0" w:type="dxa"/>
          </w:tblCellMar>
        </w:tblPrEx>
        <w:trPr>
          <w:trHeight w:val="23"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农民工随迁子女接受义务教育比例</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100</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100</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r>
      <w:tr>
        <w:tblPrEx>
          <w:tblCellMar>
            <w:top w:w="0" w:type="dxa"/>
            <w:left w:w="0" w:type="dxa"/>
            <w:bottom w:w="0" w:type="dxa"/>
            <w:right w:w="0" w:type="dxa"/>
          </w:tblCellMar>
        </w:tblPrEx>
        <w:trPr>
          <w:trHeight w:val="23"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九年义务教育巩固率</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93</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99.13</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1.226</w:t>
            </w:r>
          </w:p>
        </w:tc>
      </w:tr>
      <w:tr>
        <w:tblPrEx>
          <w:tblCellMar>
            <w:top w:w="0" w:type="dxa"/>
            <w:left w:w="0" w:type="dxa"/>
            <w:bottom w:w="0" w:type="dxa"/>
            <w:right w:w="0" w:type="dxa"/>
          </w:tblCellMar>
        </w:tblPrEx>
        <w:trPr>
          <w:trHeight w:val="23"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人均预期寿命</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岁</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70</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74.5</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1.28</w:t>
            </w:r>
          </w:p>
        </w:tc>
      </w:tr>
      <w:tr>
        <w:tblPrEx>
          <w:tblCellMar>
            <w:top w:w="0" w:type="dxa"/>
            <w:left w:w="0" w:type="dxa"/>
            <w:bottom w:w="0" w:type="dxa"/>
            <w:right w:w="0" w:type="dxa"/>
          </w:tblCellMar>
        </w:tblPrEx>
        <w:trPr>
          <w:trHeight w:val="23"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环境资源目标</w:t>
            </w: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耕地保有量</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万亩</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44.8</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45.19</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[0.39]</w:t>
            </w:r>
          </w:p>
        </w:tc>
      </w:tr>
      <w:tr>
        <w:tblPrEx>
          <w:tblCellMar>
            <w:top w:w="0" w:type="dxa"/>
            <w:left w:w="0" w:type="dxa"/>
            <w:bottom w:w="0" w:type="dxa"/>
            <w:right w:w="0" w:type="dxa"/>
          </w:tblCellMar>
        </w:tblPrEx>
        <w:trPr>
          <w:trHeight w:val="23"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森林覆盖率</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50.41</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48.88</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r>
      <w:tr>
        <w:tblPrEx>
          <w:tblCellMar>
            <w:top w:w="0" w:type="dxa"/>
            <w:left w:w="0" w:type="dxa"/>
            <w:bottom w:w="0" w:type="dxa"/>
            <w:right w:w="0" w:type="dxa"/>
          </w:tblCellMar>
        </w:tblPrEx>
        <w:trPr>
          <w:trHeight w:val="23"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城市垃圾无害化处理率</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71</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85</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[14]</w:t>
            </w:r>
          </w:p>
        </w:tc>
      </w:tr>
      <w:tr>
        <w:tblPrEx>
          <w:tblCellMar>
            <w:top w:w="0" w:type="dxa"/>
            <w:left w:w="0" w:type="dxa"/>
            <w:bottom w:w="0" w:type="dxa"/>
            <w:right w:w="0" w:type="dxa"/>
          </w:tblCellMar>
        </w:tblPrEx>
        <w:trPr>
          <w:trHeight w:val="23"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城市生活污水处理率</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96.04</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r>
      <w:tr>
        <w:tblPrEx>
          <w:tblCellMar>
            <w:top w:w="0" w:type="dxa"/>
            <w:left w:w="0" w:type="dxa"/>
            <w:bottom w:w="0" w:type="dxa"/>
            <w:right w:w="0" w:type="dxa"/>
          </w:tblCellMar>
        </w:tblPrEx>
        <w:trPr>
          <w:trHeight w:val="23"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单位生产总值能耗降低</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2.9</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r>
      <w:tr>
        <w:tblPrEx>
          <w:tblCellMar>
            <w:top w:w="0" w:type="dxa"/>
            <w:left w:w="0" w:type="dxa"/>
            <w:bottom w:w="0" w:type="dxa"/>
            <w:right w:w="0" w:type="dxa"/>
          </w:tblCellMar>
        </w:tblPrEx>
        <w:trPr>
          <w:trHeight w:val="23"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主要污染物排放总量减少</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r>
      <w:tr>
        <w:tblPrEx>
          <w:tblCellMar>
            <w:top w:w="0" w:type="dxa"/>
            <w:left w:w="0" w:type="dxa"/>
            <w:bottom w:w="0" w:type="dxa"/>
            <w:right w:w="0" w:type="dxa"/>
          </w:tblCellMar>
        </w:tblPrEx>
        <w:trPr>
          <w:trHeight w:val="341"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城市空气质量优良天数</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天</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330</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-2</w:t>
            </w:r>
          </w:p>
        </w:tc>
      </w:tr>
      <w:tr>
        <w:tblPrEx>
          <w:tblCellMar>
            <w:top w:w="0" w:type="dxa"/>
            <w:left w:w="0" w:type="dxa"/>
            <w:bottom w:w="0" w:type="dxa"/>
            <w:right w:w="0" w:type="dxa"/>
          </w:tblCellMar>
        </w:tblPrEx>
        <w:trPr>
          <w:trHeight w:val="857"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对外开放目标</w:t>
            </w:r>
          </w:p>
        </w:tc>
        <w:tc>
          <w:tcPr>
            <w:tcW w:w="18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出口创汇</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万元</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3900</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10.03</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28"/>
                <w:rFonts w:hint="default" w:ascii="Times New Roman" w:hAnsi="Times New Roman" w:cs="Times New Roman" w:eastAsiaTheme="minorEastAsia"/>
                <w:i w:val="0"/>
                <w:color w:val="auto"/>
                <w:sz w:val="24"/>
                <w:szCs w:val="24"/>
                <w:highlight w:val="none"/>
                <w:lang w:val="en-US" w:eastAsia="zh-CN" w:bidi="ar"/>
              </w:rPr>
            </w:pPr>
            <w:r>
              <w:rPr>
                <w:rStyle w:val="28"/>
                <w:rFonts w:hint="default" w:ascii="Times New Roman" w:hAnsi="Times New Roman" w:cs="Times New Roman" w:eastAsiaTheme="minorEastAsia"/>
                <w:i w:val="0"/>
                <w:color w:val="auto"/>
                <w:sz w:val="24"/>
                <w:szCs w:val="24"/>
                <w:highlight w:val="none"/>
                <w:lang w:val="en-US" w:eastAsia="zh-CN" w:bidi="ar"/>
              </w:rPr>
              <w:t>—</w:t>
            </w:r>
          </w:p>
        </w:tc>
      </w:tr>
    </w:tbl>
    <w:p>
      <w:pPr>
        <w:keepNext w:val="0"/>
        <w:keepLines w:val="0"/>
        <w:pageBreakBefore w:val="0"/>
        <w:widowControl/>
        <w:kinsoku/>
        <w:wordWrap/>
        <w:overflowPunct/>
        <w:topLinePunct w:val="0"/>
        <w:autoSpaceDE/>
        <w:autoSpaceDN/>
        <w:bidi w:val="0"/>
        <w:adjustRightInd/>
        <w:snapToGrid/>
        <w:spacing w:line="500" w:lineRule="exact"/>
        <w:ind w:firstLine="480"/>
        <w:jc w:val="left"/>
        <w:textAlignment w:val="center"/>
        <w:rPr>
          <w:rStyle w:val="28"/>
          <w:rFonts w:hint="default" w:ascii="Times New Roman" w:hAnsi="Times New Roman" w:cs="Times New Roman" w:eastAsiaTheme="minorEastAsia"/>
          <w:color w:val="auto"/>
          <w:sz w:val="24"/>
          <w:highlight w:val="none"/>
          <w:lang w:val="en-US" w:eastAsia="zh-CN" w:bidi="ar"/>
        </w:rPr>
      </w:pPr>
      <w:r>
        <w:rPr>
          <w:rStyle w:val="28"/>
          <w:rFonts w:hint="default" w:ascii="Times New Roman" w:hAnsi="Times New Roman" w:cs="Times New Roman" w:eastAsiaTheme="minorEastAsia"/>
          <w:color w:val="auto"/>
          <w:sz w:val="24"/>
          <w:highlight w:val="none"/>
          <w:lang w:val="en-US" w:eastAsia="zh-CN" w:bidi="ar"/>
        </w:rPr>
        <w:t>注：国家层面对森林覆盖率计算</w:t>
      </w:r>
      <w:r>
        <w:rPr>
          <w:rStyle w:val="28"/>
          <w:rFonts w:hint="default" w:ascii="Times New Roman" w:hAnsi="Times New Roman" w:cs="Times New Roman" w:eastAsiaTheme="minorEastAsia"/>
          <w:sz w:val="24"/>
          <w:lang w:eastAsia="zh-CN" w:bidi="ar"/>
        </w:rPr>
        <w:t>口径</w:t>
      </w:r>
      <w:r>
        <w:rPr>
          <w:rStyle w:val="28"/>
          <w:rFonts w:hint="default" w:ascii="Times New Roman" w:hAnsi="Times New Roman" w:cs="Times New Roman" w:eastAsiaTheme="minorEastAsia"/>
          <w:color w:val="auto"/>
          <w:sz w:val="24"/>
          <w:highlight w:val="none"/>
          <w:lang w:val="en-US" w:eastAsia="zh-CN" w:bidi="ar"/>
        </w:rPr>
        <w:t>方法发生变化，对以前列入统计范围的</w:t>
      </w:r>
      <w:r>
        <w:rPr>
          <w:rStyle w:val="28"/>
          <w:rFonts w:hint="eastAsia" w:ascii="Times New Roman" w:hAnsi="Times New Roman" w:cs="Times New Roman" w:eastAsiaTheme="minorEastAsia"/>
          <w:color w:val="auto"/>
          <w:sz w:val="24"/>
          <w:highlight w:val="none"/>
          <w:lang w:val="en-US" w:eastAsia="zh-CN" w:bidi="ar"/>
        </w:rPr>
        <w:t>“</w:t>
      </w:r>
      <w:r>
        <w:rPr>
          <w:rStyle w:val="28"/>
          <w:rFonts w:hint="default" w:ascii="Times New Roman" w:hAnsi="Times New Roman" w:cs="Times New Roman" w:eastAsiaTheme="minorEastAsia"/>
          <w:color w:val="auto"/>
          <w:sz w:val="24"/>
          <w:highlight w:val="none"/>
          <w:lang w:val="en-US" w:eastAsia="zh-CN" w:bidi="ar"/>
        </w:rPr>
        <w:t>四旁树</w:t>
      </w:r>
      <w:r>
        <w:rPr>
          <w:rStyle w:val="28"/>
          <w:rFonts w:hint="eastAsia" w:ascii="Times New Roman" w:hAnsi="Times New Roman" w:cs="Times New Roman" w:eastAsiaTheme="minorEastAsia"/>
          <w:color w:val="auto"/>
          <w:sz w:val="24"/>
          <w:highlight w:val="none"/>
          <w:lang w:val="en-US" w:eastAsia="zh-CN" w:bidi="ar"/>
        </w:rPr>
        <w:t>”</w:t>
      </w:r>
      <w:r>
        <w:rPr>
          <w:rStyle w:val="28"/>
          <w:rFonts w:hint="default" w:ascii="Times New Roman" w:hAnsi="Times New Roman" w:cs="Times New Roman" w:eastAsiaTheme="minorEastAsia"/>
          <w:color w:val="auto"/>
          <w:sz w:val="24"/>
          <w:highlight w:val="none"/>
          <w:lang w:val="en-US" w:eastAsia="zh-CN" w:bidi="ar"/>
        </w:rPr>
        <w:t>不再折合计算为森林覆盖率。</w:t>
      </w:r>
    </w:p>
    <w:p>
      <w:pPr>
        <w:pStyle w:val="4"/>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ascii="黑体" w:hAnsi="黑体" w:eastAsia="黑体" w:cs="黑体"/>
          <w:b w:val="0"/>
          <w:bCs/>
          <w:color w:val="auto"/>
          <w:highlight w:val="none"/>
          <w:lang w:val="zh-CN"/>
        </w:rPr>
      </w:pPr>
      <w:bookmarkStart w:id="2" w:name="_Toc8561"/>
    </w:p>
    <w:p>
      <w:pPr>
        <w:pStyle w:val="4"/>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ascii="黑体" w:hAnsi="黑体" w:eastAsia="黑体" w:cs="黑体"/>
          <w:b w:val="0"/>
          <w:bCs/>
          <w:color w:val="auto"/>
          <w:highlight w:val="none"/>
          <w:lang w:val="zh-CN"/>
        </w:rPr>
      </w:pPr>
      <w:r>
        <w:rPr>
          <w:rFonts w:hint="eastAsia" w:ascii="黑体" w:hAnsi="黑体" w:eastAsia="黑体" w:cs="黑体"/>
          <w:b w:val="0"/>
          <w:bCs/>
          <w:color w:val="auto"/>
          <w:highlight w:val="none"/>
          <w:lang w:val="zh-CN"/>
        </w:rPr>
        <w:fldChar w:fldCharType="begin"/>
      </w:r>
      <w:r>
        <w:rPr>
          <w:rFonts w:hint="eastAsia" w:ascii="黑体" w:hAnsi="黑体" w:eastAsia="黑体" w:cs="黑体"/>
          <w:b w:val="0"/>
          <w:bCs/>
          <w:color w:val="auto"/>
          <w:highlight w:val="none"/>
          <w:lang w:val="zh-CN"/>
        </w:rPr>
        <w:instrText xml:space="preserve"> HYPERLINK \l _Toc513 </w:instrText>
      </w:r>
      <w:r>
        <w:rPr>
          <w:rFonts w:hint="eastAsia" w:ascii="黑体" w:hAnsi="黑体" w:eastAsia="黑体" w:cs="黑体"/>
          <w:b w:val="0"/>
          <w:bCs/>
          <w:color w:val="auto"/>
          <w:highlight w:val="none"/>
          <w:lang w:val="zh-CN"/>
        </w:rPr>
        <w:fldChar w:fldCharType="separate"/>
      </w:r>
      <w:r>
        <w:rPr>
          <w:rFonts w:hint="eastAsia" w:ascii="黑体" w:hAnsi="黑体" w:eastAsia="黑体" w:cs="黑体"/>
          <w:b w:val="0"/>
          <w:bCs/>
          <w:color w:val="auto"/>
          <w:highlight w:val="none"/>
          <w:lang w:val="en-US" w:eastAsia="zh-CN"/>
        </w:rPr>
        <w:t xml:space="preserve">  </w:t>
      </w:r>
      <w:r>
        <w:rPr>
          <w:rFonts w:hint="eastAsia" w:ascii="黑体" w:hAnsi="黑体" w:eastAsia="黑体" w:cs="黑体"/>
          <w:b w:val="0"/>
          <w:bCs/>
          <w:color w:val="auto"/>
          <w:highlight w:val="none"/>
          <w:lang w:val="zh-CN" w:eastAsia="zh-CN"/>
        </w:rPr>
        <w:t>发展环境</w:t>
      </w:r>
      <w:r>
        <w:rPr>
          <w:rFonts w:hint="eastAsia" w:ascii="黑体" w:hAnsi="黑体" w:eastAsia="黑体" w:cs="黑体"/>
          <w:b w:val="0"/>
          <w:bCs/>
          <w:color w:val="auto"/>
          <w:highlight w:val="none"/>
          <w:lang w:val="zh-CN"/>
        </w:rPr>
        <w:fldChar w:fldCharType="end"/>
      </w:r>
      <w:bookmarkEnd w:id="2"/>
    </w:p>
    <w:p>
      <w:pPr>
        <w:pageBreakBefore w:val="0"/>
        <w:widowControl w:val="0"/>
        <w:kinsoku/>
        <w:wordWrap/>
        <w:overflowPunct/>
        <w:topLinePunct w:val="0"/>
        <w:autoSpaceDE/>
        <w:autoSpaceDN/>
        <w:bidi w:val="0"/>
        <w:adjustRightInd/>
        <w:snapToGrid/>
        <w:spacing w:line="400" w:lineRule="exact"/>
        <w:textAlignment w:val="auto"/>
        <w:rPr>
          <w:rFonts w:hint="eastAsia"/>
          <w:lang w:val="zh-CN"/>
        </w:rPr>
      </w:pPr>
    </w:p>
    <w:p>
      <w:pPr>
        <w:pStyle w:val="10"/>
        <w:keepNext w:val="0"/>
        <w:keepLines w:val="0"/>
        <w:pageBreakBefore w:val="0"/>
        <w:widowControl w:val="0"/>
        <w:kinsoku/>
        <w:wordWrap/>
        <w:overflowPunct/>
        <w:topLinePunct w:val="0"/>
        <w:autoSpaceDE/>
        <w:autoSpaceDN/>
        <w:bidi w:val="0"/>
        <w:spacing w:after="0" w:line="600" w:lineRule="exact"/>
        <w:textAlignment w:val="auto"/>
        <w:rPr>
          <w:rFonts w:hint="default" w:ascii="Times New Roman" w:hAnsi="Times New Roman" w:cs="Times New Roman"/>
          <w:color w:val="auto"/>
          <w:highlight w:val="none"/>
          <w:lang w:val="zh-CN" w:eastAsia="zh-CN"/>
        </w:rPr>
      </w:pPr>
      <w:r>
        <w:rPr>
          <w:rFonts w:hint="default" w:ascii="Times New Roman" w:hAnsi="Times New Roman" w:cs="Times New Roman"/>
          <w:color w:val="auto"/>
          <w:highlight w:val="none"/>
          <w:lang w:val="zh-CN" w:eastAsia="zh-CN"/>
        </w:rPr>
        <w:t>当今世界正经历百年未有之大变局，新一轮科技革命和产业变革深入发展，和平与发展仍然是时代主题</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zh-CN" w:eastAsia="zh-CN"/>
        </w:rPr>
        <w:t>同时，国际环境日趋复杂，不稳定性、不确定性明显增加，新冠肺炎疫情影响广泛深远，经济全球化遭遇逆流，外部形势错综复杂。</w:t>
      </w:r>
      <w:r>
        <w:rPr>
          <w:rFonts w:hint="default" w:ascii="Times New Roman" w:hAnsi="Times New Roman" w:eastAsia="仿宋_GB2312" w:cs="Times New Roman"/>
          <w:kern w:val="0"/>
          <w:sz w:val="32"/>
          <w:szCs w:val="32"/>
          <w:u w:val="none" w:color="auto"/>
        </w:rPr>
        <w:t>通过</w:t>
      </w:r>
      <w:r>
        <w:rPr>
          <w:rFonts w:hint="eastAsia" w:ascii="Times New Roman" w:hAnsi="Times New Roman" w:cs="Times New Roman"/>
          <w:kern w:val="0"/>
          <w:sz w:val="32"/>
          <w:szCs w:val="32"/>
          <w:u w:val="none" w:color="auto"/>
          <w:lang w:eastAsia="zh-CN"/>
        </w:rPr>
        <w:t>“</w:t>
      </w:r>
      <w:r>
        <w:rPr>
          <w:rFonts w:hint="default" w:ascii="Times New Roman" w:hAnsi="Times New Roman" w:eastAsia="仿宋_GB2312" w:cs="Times New Roman"/>
          <w:kern w:val="0"/>
          <w:sz w:val="32"/>
          <w:szCs w:val="32"/>
          <w:u w:val="none" w:color="auto"/>
        </w:rPr>
        <w:t>十三五</w:t>
      </w:r>
      <w:r>
        <w:rPr>
          <w:rFonts w:hint="eastAsia" w:ascii="Times New Roman" w:hAnsi="Times New Roman" w:cs="Times New Roman"/>
          <w:kern w:val="0"/>
          <w:sz w:val="32"/>
          <w:szCs w:val="32"/>
          <w:u w:val="none" w:color="auto"/>
          <w:lang w:eastAsia="zh-CN"/>
        </w:rPr>
        <w:t>”</w:t>
      </w:r>
      <w:r>
        <w:rPr>
          <w:rFonts w:hint="default" w:ascii="Times New Roman" w:hAnsi="Times New Roman" w:eastAsia="仿宋_GB2312" w:cs="Times New Roman"/>
          <w:kern w:val="0"/>
          <w:sz w:val="32"/>
          <w:szCs w:val="32"/>
          <w:u w:val="none" w:color="auto"/>
        </w:rPr>
        <w:t>时期的接续奋斗，正宁</w:t>
      </w:r>
      <w:r>
        <w:rPr>
          <w:rFonts w:hint="default" w:ascii="Times New Roman" w:hAnsi="Times New Roman" w:eastAsia="仿宋_GB2312" w:cs="Times New Roman"/>
          <w:kern w:val="0"/>
          <w:sz w:val="32"/>
          <w:szCs w:val="32"/>
          <w:u w:val="none" w:color="auto"/>
          <w:lang w:val="en-US" w:eastAsia="zh-CN"/>
        </w:rPr>
        <w:t>正在转向高质量发展</w:t>
      </w:r>
      <w:r>
        <w:rPr>
          <w:rFonts w:hint="default" w:ascii="Times New Roman" w:hAnsi="Times New Roman" w:eastAsia="仿宋_GB2312" w:cs="Times New Roman"/>
          <w:kern w:val="0"/>
          <w:sz w:val="32"/>
          <w:szCs w:val="32"/>
          <w:u w:val="none" w:color="auto"/>
        </w:rPr>
        <w:t>的新阶段。</w:t>
      </w:r>
      <w:r>
        <w:rPr>
          <w:rFonts w:hint="eastAsia" w:ascii="Times New Roman" w:hAnsi="Times New Roman" w:cs="Times New Roman"/>
          <w:sz w:val="32"/>
          <w:szCs w:val="32"/>
          <w:u w:val="none" w:color="auto"/>
          <w:lang w:eastAsia="zh-CN"/>
        </w:rPr>
        <w:t>“</w:t>
      </w:r>
      <w:r>
        <w:rPr>
          <w:rFonts w:hint="default" w:ascii="Times New Roman" w:hAnsi="Times New Roman" w:eastAsia="仿宋_GB2312" w:cs="Times New Roman"/>
          <w:sz w:val="32"/>
          <w:szCs w:val="32"/>
          <w:u w:val="none" w:color="auto"/>
        </w:rPr>
        <w:t>十四五</w:t>
      </w:r>
      <w:r>
        <w:rPr>
          <w:rFonts w:hint="eastAsia" w:ascii="Times New Roman" w:hAnsi="Times New Roman" w:cs="Times New Roman"/>
          <w:sz w:val="32"/>
          <w:szCs w:val="32"/>
          <w:u w:val="none" w:color="auto"/>
          <w:lang w:eastAsia="zh-CN"/>
        </w:rPr>
        <w:t>”</w:t>
      </w:r>
      <w:r>
        <w:rPr>
          <w:rFonts w:hint="default" w:ascii="Times New Roman" w:hAnsi="Times New Roman" w:eastAsia="仿宋_GB2312" w:cs="Times New Roman"/>
          <w:sz w:val="32"/>
          <w:szCs w:val="32"/>
          <w:u w:val="none" w:color="auto"/>
        </w:rPr>
        <w:t>时期，把正宁放在全市、全省乃至全国的大环境中考量</w:t>
      </w:r>
      <w:r>
        <w:rPr>
          <w:rFonts w:hint="default" w:ascii="Times New Roman" w:hAnsi="Times New Roman" w:eastAsia="仿宋_GB2312" w:cs="Times New Roman"/>
          <w:sz w:val="32"/>
          <w:szCs w:val="32"/>
          <w:u w:val="none" w:color="auto"/>
          <w:lang w:eastAsia="zh-CN"/>
        </w:rPr>
        <w:t>，</w:t>
      </w:r>
      <w:r>
        <w:rPr>
          <w:rFonts w:hint="default" w:ascii="Times New Roman" w:hAnsi="Times New Roman" w:eastAsia="仿宋_GB2312" w:cs="Times New Roman"/>
          <w:sz w:val="32"/>
          <w:szCs w:val="32"/>
          <w:u w:val="none" w:color="auto"/>
          <w:lang w:val="en-US" w:eastAsia="zh-CN"/>
        </w:rPr>
        <w:t>既具有多方面的优势和条件，也面临诸多的困难和挑战。</w:t>
      </w:r>
    </w:p>
    <w:p>
      <w:pPr>
        <w:pStyle w:val="10"/>
        <w:keepNext w:val="0"/>
        <w:keepLines w:val="0"/>
        <w:pageBreakBefore w:val="0"/>
        <w:widowControl w:val="0"/>
        <w:kinsoku/>
        <w:wordWrap/>
        <w:overflowPunct/>
        <w:topLinePunct w:val="0"/>
        <w:autoSpaceDE/>
        <w:autoSpaceDN/>
        <w:bidi w:val="0"/>
        <w:spacing w:after="0" w:line="600" w:lineRule="exact"/>
        <w:textAlignment w:val="auto"/>
        <w:rPr>
          <w:rFonts w:hint="default" w:ascii="Times New Roman" w:hAnsi="Times New Roman" w:cs="Times New Roman"/>
          <w:color w:val="auto"/>
          <w:highlight w:val="none"/>
          <w:lang w:val="zh-CN" w:eastAsia="zh-CN"/>
        </w:rPr>
      </w:pPr>
      <w:r>
        <w:rPr>
          <w:rFonts w:hint="default" w:ascii="Times New Roman" w:hAnsi="Times New Roman" w:cs="Times New Roman"/>
          <w:color w:val="auto"/>
          <w:highlight w:val="none"/>
          <w:lang w:val="zh-CN" w:eastAsia="zh-CN"/>
        </w:rPr>
        <w:t>从发展机遇看：</w:t>
      </w:r>
      <w:r>
        <w:rPr>
          <w:rFonts w:hint="eastAsia" w:ascii="楷体_GB2312" w:hAnsi="楷体_GB2312" w:eastAsia="楷体_GB2312" w:cs="楷体_GB2312"/>
          <w:b/>
          <w:bCs/>
          <w:color w:val="auto"/>
          <w:highlight w:val="none"/>
          <w:lang w:val="zh-CN" w:eastAsia="zh-CN"/>
        </w:rPr>
        <w:t>一是</w:t>
      </w:r>
      <w:r>
        <w:rPr>
          <w:rFonts w:hint="default" w:ascii="Times New Roman" w:hAnsi="Times New Roman" w:cs="Times New Roman"/>
          <w:color w:val="auto"/>
          <w:highlight w:val="none"/>
          <w:lang w:val="zh-CN" w:eastAsia="zh-CN"/>
        </w:rPr>
        <w:t>构建新发展格局，以国内大循环为主体的</w:t>
      </w:r>
      <w:r>
        <w:rPr>
          <w:rFonts w:hint="eastAsia" w:ascii="Times New Roman" w:hAnsi="Times New Roman" w:cs="Times New Roman"/>
          <w:color w:val="auto"/>
          <w:highlight w:val="none"/>
          <w:lang w:val="zh-CN" w:eastAsia="zh-CN"/>
        </w:rPr>
        <w:t>“</w:t>
      </w:r>
      <w:r>
        <w:rPr>
          <w:rFonts w:hint="default" w:ascii="Times New Roman" w:hAnsi="Times New Roman" w:cs="Times New Roman"/>
          <w:color w:val="auto"/>
          <w:highlight w:val="none"/>
          <w:lang w:val="zh-CN" w:eastAsia="zh-CN"/>
        </w:rPr>
        <w:t>双循环</w:t>
      </w:r>
      <w:r>
        <w:rPr>
          <w:rFonts w:hint="eastAsia" w:ascii="Times New Roman" w:hAnsi="Times New Roman" w:cs="Times New Roman"/>
          <w:color w:val="auto"/>
          <w:highlight w:val="none"/>
          <w:lang w:val="zh-CN" w:eastAsia="zh-CN"/>
        </w:rPr>
        <w:t>”</w:t>
      </w:r>
      <w:r>
        <w:rPr>
          <w:rFonts w:hint="default" w:ascii="Times New Roman" w:hAnsi="Times New Roman" w:cs="Times New Roman"/>
          <w:color w:val="auto"/>
          <w:highlight w:val="none"/>
          <w:lang w:val="zh-CN" w:eastAsia="zh-CN"/>
        </w:rPr>
        <w:t>格局正在逐步形成，国内市场主导国民经济循环特征会更加明显，生产、分配、流通、消费将更多依托国内市场，为我们承接产业转移、建立农产品全供应链</w:t>
      </w:r>
      <w:r>
        <w:rPr>
          <w:rFonts w:hint="default" w:ascii="Times New Roman" w:hAnsi="Times New Roman" w:eastAsia="仿宋_GB2312" w:cs="Times New Roman"/>
          <w:color w:val="000000"/>
          <w:sz w:val="32"/>
          <w:szCs w:val="32"/>
          <w:u w:val="none" w:color="auto"/>
          <w:lang w:val="en-US" w:eastAsia="zh-CN"/>
        </w:rPr>
        <w:t>体系</w:t>
      </w:r>
      <w:r>
        <w:rPr>
          <w:rFonts w:hint="default" w:ascii="Times New Roman" w:hAnsi="Times New Roman" w:cs="Times New Roman"/>
          <w:color w:val="auto"/>
          <w:highlight w:val="none"/>
          <w:lang w:val="zh-CN" w:eastAsia="zh-CN"/>
        </w:rPr>
        <w:t>、扩大优质农产品销售带来利好机遇。</w:t>
      </w:r>
      <w:r>
        <w:rPr>
          <w:rFonts w:hint="default" w:ascii="楷体_GB2312" w:hAnsi="楷体_GB2312" w:eastAsia="楷体_GB2312" w:cs="楷体_GB2312"/>
          <w:b/>
          <w:bCs/>
          <w:color w:val="auto"/>
          <w:highlight w:val="none"/>
          <w:lang w:val="zh-CN" w:eastAsia="zh-CN"/>
        </w:rPr>
        <w:t>二是</w:t>
      </w:r>
      <w:r>
        <w:rPr>
          <w:rFonts w:hint="eastAsia" w:ascii="Times New Roman" w:hAnsi="Times New Roman" w:cs="Times New Roman"/>
          <w:color w:val="auto"/>
          <w:highlight w:val="none"/>
          <w:lang w:val="zh-CN" w:eastAsia="zh-CN"/>
        </w:rPr>
        <w:t>“</w:t>
      </w:r>
      <w:r>
        <w:rPr>
          <w:rFonts w:hint="default" w:ascii="Times New Roman" w:hAnsi="Times New Roman" w:cs="Times New Roman"/>
          <w:color w:val="auto"/>
          <w:highlight w:val="none"/>
          <w:lang w:val="zh-CN" w:eastAsia="zh-CN"/>
        </w:rPr>
        <w:t>一带一路</w:t>
      </w:r>
      <w:r>
        <w:rPr>
          <w:rFonts w:hint="eastAsia" w:ascii="Times New Roman" w:hAnsi="Times New Roman" w:cs="Times New Roman"/>
          <w:color w:val="auto"/>
          <w:highlight w:val="none"/>
          <w:lang w:val="zh-CN" w:eastAsia="zh-CN"/>
        </w:rPr>
        <w:t>”</w:t>
      </w:r>
      <w:r>
        <w:rPr>
          <w:rFonts w:hint="default" w:ascii="Times New Roman" w:hAnsi="Times New Roman" w:cs="Times New Roman"/>
          <w:color w:val="auto"/>
          <w:highlight w:val="none"/>
          <w:lang w:val="zh-CN" w:eastAsia="zh-CN"/>
        </w:rPr>
        <w:t>、黄河流域生态保护和高质量发展、新时代推进西部大开发形成新格局以及</w:t>
      </w:r>
      <w:r>
        <w:rPr>
          <w:rFonts w:hint="eastAsia" w:cs="Times New Roman"/>
          <w:color w:val="auto"/>
          <w:highlight w:val="none"/>
          <w:lang w:val="zh-CN" w:eastAsia="zh-CN"/>
        </w:rPr>
        <w:t>新时代支持革命老区振兴发展</w:t>
      </w:r>
      <w:r>
        <w:rPr>
          <w:rFonts w:hint="default" w:ascii="Times New Roman" w:hAnsi="Times New Roman" w:cs="Times New Roman"/>
          <w:color w:val="auto"/>
          <w:highlight w:val="none"/>
          <w:lang w:val="zh-CN" w:eastAsia="zh-CN"/>
        </w:rPr>
        <w:t>等国家战略深入实施，资本、知识、技术、数据、信息等生产要素加速向西部流动，为我们发挥资源优势、释放后发潜力，更好融入国家、省市发展大局提供了难得政策机遇和发展空间。</w:t>
      </w:r>
      <w:r>
        <w:rPr>
          <w:rFonts w:hint="default" w:ascii="楷体_GB2312" w:hAnsi="楷体_GB2312" w:eastAsia="楷体_GB2312" w:cs="楷体_GB2312"/>
          <w:b/>
          <w:bCs/>
          <w:color w:val="auto"/>
          <w:highlight w:val="none"/>
          <w:lang w:val="zh-CN" w:eastAsia="zh-CN"/>
        </w:rPr>
        <w:t>三是</w:t>
      </w:r>
      <w:r>
        <w:rPr>
          <w:rFonts w:hint="default" w:ascii="Times New Roman" w:hAnsi="Times New Roman" w:cs="Times New Roman"/>
          <w:color w:val="auto"/>
          <w:highlight w:val="none"/>
          <w:lang w:val="zh-CN" w:eastAsia="zh-CN"/>
        </w:rPr>
        <w:t>乡村振兴战略全面实施，为我们深化乡村改革、培育主导产业、加快乡村建设、保护传统村落、推动乡村治理、改变基础条件、推动城乡融合提供了利好政策。</w:t>
      </w:r>
      <w:r>
        <w:rPr>
          <w:rFonts w:hint="default" w:ascii="楷体_GB2312" w:hAnsi="楷体_GB2312" w:eastAsia="楷体_GB2312" w:cs="楷体_GB2312"/>
          <w:b/>
          <w:bCs/>
          <w:color w:val="auto"/>
          <w:highlight w:val="none"/>
          <w:lang w:val="zh-CN" w:eastAsia="zh-CN"/>
        </w:rPr>
        <w:t>四是</w:t>
      </w:r>
      <w:r>
        <w:rPr>
          <w:rFonts w:hint="default" w:ascii="Times New Roman" w:hAnsi="Times New Roman" w:eastAsia="仿宋_GB2312" w:cs="Times New Roman"/>
          <w:sz w:val="32"/>
          <w:szCs w:val="32"/>
          <w:u w:val="none" w:color="auto"/>
          <w:lang w:val="en-US" w:eastAsia="zh-CN"/>
        </w:rPr>
        <w:t>国家支持</w:t>
      </w:r>
      <w:r>
        <w:rPr>
          <w:rFonts w:hint="eastAsia" w:cs="Times New Roman"/>
          <w:sz w:val="32"/>
          <w:szCs w:val="32"/>
          <w:u w:val="none" w:color="auto"/>
          <w:lang w:val="en-US" w:eastAsia="zh-CN"/>
        </w:rPr>
        <w:t>绿色清洁能源</w:t>
      </w:r>
      <w:r>
        <w:rPr>
          <w:rFonts w:hint="default" w:ascii="Times New Roman" w:hAnsi="Times New Roman" w:eastAsia="仿宋_GB2312" w:cs="Times New Roman"/>
          <w:sz w:val="32"/>
          <w:szCs w:val="32"/>
          <w:u w:val="none" w:color="auto"/>
          <w:lang w:val="en-US" w:eastAsia="zh-CN"/>
        </w:rPr>
        <w:t>开发，核桃峪煤矿、正宁电厂等重大煤电项目建成运行，带动上下游产业发展、延伸产业链条，对于促进产业融合发展、构建完备的三次产业体系提供了有利条件。</w:t>
      </w:r>
      <w:r>
        <w:rPr>
          <w:rFonts w:hint="default" w:ascii="楷体_GB2312" w:hAnsi="楷体_GB2312" w:eastAsia="楷体_GB2312" w:cs="楷体_GB2312"/>
          <w:b/>
          <w:bCs/>
          <w:color w:val="auto"/>
          <w:highlight w:val="none"/>
          <w:lang w:val="en-US" w:eastAsia="zh-CN"/>
        </w:rPr>
        <w:t>五是</w:t>
      </w:r>
      <w:r>
        <w:rPr>
          <w:rFonts w:hint="default" w:ascii="Times New Roman" w:hAnsi="Times New Roman" w:cs="Times New Roman"/>
          <w:color w:val="auto"/>
          <w:highlight w:val="none"/>
          <w:lang w:val="zh-CN" w:eastAsia="zh-CN"/>
        </w:rPr>
        <w:t>市上提出</w:t>
      </w:r>
      <w:r>
        <w:rPr>
          <w:rFonts w:hint="eastAsia" w:ascii="Times New Roman" w:hAnsi="Times New Roman" w:cs="Times New Roman"/>
          <w:color w:val="auto"/>
          <w:sz w:val="32"/>
          <w:szCs w:val="24"/>
          <w:highlight w:val="none"/>
          <w:lang w:val="zh-CN" w:eastAsia="zh-CN"/>
        </w:rPr>
        <w:t>“</w:t>
      </w:r>
      <w:r>
        <w:rPr>
          <w:rFonts w:hint="default" w:ascii="Times New Roman" w:hAnsi="Times New Roman" w:eastAsia="仿宋_GB2312" w:cs="Times New Roman"/>
          <w:color w:val="auto"/>
          <w:sz w:val="32"/>
          <w:szCs w:val="24"/>
          <w:highlight w:val="none"/>
          <w:lang w:val="zh-CN" w:eastAsia="zh-CN"/>
        </w:rPr>
        <w:t>五区一中心</w:t>
      </w:r>
      <w:r>
        <w:rPr>
          <w:rFonts w:hint="eastAsia" w:ascii="Times New Roman" w:hAnsi="Times New Roman" w:cs="Times New Roman"/>
          <w:color w:val="auto"/>
          <w:sz w:val="32"/>
          <w:szCs w:val="24"/>
          <w:highlight w:val="none"/>
          <w:lang w:val="zh-CN" w:eastAsia="zh-CN"/>
        </w:rPr>
        <w:t>”</w:t>
      </w:r>
      <w:r>
        <w:rPr>
          <w:rFonts w:hint="default" w:ascii="Times New Roman" w:hAnsi="Times New Roman" w:eastAsia="仿宋_GB2312" w:cs="Times New Roman"/>
          <w:color w:val="auto"/>
          <w:sz w:val="32"/>
          <w:szCs w:val="24"/>
          <w:highlight w:val="none"/>
          <w:lang w:val="zh-CN" w:eastAsia="zh-CN"/>
        </w:rPr>
        <w:t>的</w:t>
      </w:r>
      <w:r>
        <w:rPr>
          <w:rFonts w:hint="default" w:ascii="Times New Roman" w:hAnsi="Times New Roman" w:cs="Times New Roman"/>
          <w:color w:val="auto"/>
          <w:sz w:val="32"/>
          <w:szCs w:val="24"/>
          <w:highlight w:val="none"/>
          <w:lang w:val="zh-CN" w:eastAsia="zh-CN"/>
        </w:rPr>
        <w:t>发展</w:t>
      </w:r>
      <w:r>
        <w:rPr>
          <w:rFonts w:hint="default" w:ascii="Times New Roman" w:hAnsi="Times New Roman" w:eastAsia="仿宋_GB2312" w:cs="Times New Roman"/>
          <w:color w:val="auto"/>
          <w:sz w:val="32"/>
          <w:szCs w:val="24"/>
          <w:highlight w:val="none"/>
          <w:lang w:val="zh-CN" w:eastAsia="zh-CN"/>
        </w:rPr>
        <w:t>定位以及</w:t>
      </w:r>
      <w:r>
        <w:rPr>
          <w:rFonts w:hint="default" w:ascii="Times New Roman" w:hAnsi="Times New Roman" w:cs="Times New Roman"/>
          <w:color w:val="auto"/>
          <w:highlight w:val="none"/>
          <w:lang w:val="zh-CN" w:eastAsia="zh-CN"/>
        </w:rPr>
        <w:t>融入关中平原城市群发展战略，文化、能源、农业、生态、区位5个方面的潜在优势正宁都具备，一批固根基、扬优势、补短板、强弱项的重点项目将在正宁落地实施，为发展壮大县域经济实力提供了支撑。</w:t>
      </w:r>
      <w:r>
        <w:rPr>
          <w:rFonts w:hint="default" w:ascii="楷体_GB2312" w:hAnsi="楷体_GB2312" w:eastAsia="楷体_GB2312" w:cs="楷体_GB2312"/>
          <w:b/>
          <w:bCs/>
          <w:color w:val="auto"/>
          <w:highlight w:val="none"/>
          <w:lang w:val="zh-CN" w:eastAsia="zh-CN"/>
        </w:rPr>
        <w:t>六是</w:t>
      </w:r>
      <w:r>
        <w:rPr>
          <w:rFonts w:hint="default" w:ascii="Times New Roman" w:hAnsi="Times New Roman" w:cs="Times New Roman"/>
          <w:color w:val="auto"/>
          <w:highlight w:val="none"/>
          <w:lang w:val="zh-CN" w:eastAsia="zh-CN"/>
        </w:rPr>
        <w:t>加快构建现代农业产业体系，为我们推进肉牛、生猪等主导产业开发，完善产业链、供应链，</w:t>
      </w:r>
      <w:r>
        <w:rPr>
          <w:rFonts w:hint="default" w:ascii="Times New Roman" w:hAnsi="Times New Roman" w:eastAsia="仿宋_GB2312" w:cs="Times New Roman"/>
          <w:sz w:val="32"/>
          <w:szCs w:val="32"/>
          <w:u w:val="none" w:color="auto"/>
          <w:lang w:val="en-US" w:eastAsia="zh-CN"/>
        </w:rPr>
        <w:t>推动现代农业产业集群化、集约化发展</w:t>
      </w:r>
      <w:r>
        <w:rPr>
          <w:rFonts w:hint="default" w:ascii="Times New Roman" w:hAnsi="Times New Roman" w:cs="Times New Roman"/>
          <w:color w:val="auto"/>
          <w:highlight w:val="none"/>
          <w:lang w:val="zh-CN" w:eastAsia="zh-CN"/>
        </w:rPr>
        <w:t>提供了机遇。</w:t>
      </w:r>
      <w:r>
        <w:rPr>
          <w:rFonts w:hint="default" w:ascii="楷体_GB2312" w:hAnsi="楷体_GB2312" w:eastAsia="楷体_GB2312" w:cs="楷体_GB2312"/>
          <w:b/>
          <w:bCs/>
          <w:color w:val="auto"/>
          <w:highlight w:val="none"/>
          <w:lang w:val="zh-CN" w:eastAsia="zh-CN"/>
        </w:rPr>
        <w:t>七是</w:t>
      </w:r>
      <w:r>
        <w:rPr>
          <w:rFonts w:hint="default" w:ascii="Times New Roman" w:hAnsi="Times New Roman" w:cs="Times New Roman"/>
          <w:color w:val="auto"/>
          <w:highlight w:val="none"/>
          <w:lang w:val="zh-CN" w:eastAsia="zh-CN"/>
        </w:rPr>
        <w:t>新型城镇化政策，为我们统筹城乡规划、建设、管理，补齐公共设施短板，提升城市功能品质提供了良好机遇。</w:t>
      </w:r>
      <w:r>
        <w:rPr>
          <w:rFonts w:hint="default" w:ascii="楷体_GB2312" w:hAnsi="楷体_GB2312" w:eastAsia="楷体_GB2312" w:cs="楷体_GB2312"/>
          <w:b/>
          <w:bCs/>
          <w:color w:val="auto"/>
          <w:highlight w:val="none"/>
          <w:lang w:val="zh-CN" w:eastAsia="zh-CN"/>
        </w:rPr>
        <w:t>八是</w:t>
      </w:r>
      <w:r>
        <w:rPr>
          <w:rFonts w:hint="default" w:ascii="Times New Roman" w:hAnsi="Times New Roman" w:cs="Times New Roman"/>
          <w:color w:val="auto"/>
          <w:highlight w:val="none"/>
          <w:lang w:val="zh-CN" w:eastAsia="zh-CN"/>
        </w:rPr>
        <w:t>文化旅游融合发展政策，为我们挖掘丰富独特的旅游资源，发展红色旅游、生态康养旅游、乡村旅游，创新文化业态，促进文化消费提供了广阔空间。</w:t>
      </w:r>
      <w:r>
        <w:rPr>
          <w:rFonts w:hint="default" w:ascii="楷体_GB2312" w:hAnsi="楷体_GB2312" w:eastAsia="楷体_GB2312" w:cs="楷体_GB2312"/>
          <w:b/>
          <w:bCs/>
          <w:color w:val="auto"/>
          <w:highlight w:val="none"/>
          <w:lang w:val="zh-CN" w:eastAsia="zh-CN"/>
        </w:rPr>
        <w:t>九是</w:t>
      </w:r>
      <w:r>
        <w:rPr>
          <w:rFonts w:hint="default" w:ascii="Times New Roman" w:hAnsi="Times New Roman" w:cs="Times New Roman"/>
          <w:color w:val="auto"/>
          <w:highlight w:val="none"/>
          <w:lang w:val="zh-CN" w:eastAsia="zh-CN"/>
        </w:rPr>
        <w:t>财政资源统筹政策，为我们盘活用好财政资金，缓解财政收支紧张状况，更好发挥财政资金效益提供了政策支持。</w:t>
      </w:r>
    </w:p>
    <w:p>
      <w:pPr>
        <w:pStyle w:val="10"/>
        <w:keepNext w:val="0"/>
        <w:keepLines w:val="0"/>
        <w:pageBreakBefore w:val="0"/>
        <w:widowControl w:val="0"/>
        <w:kinsoku/>
        <w:wordWrap/>
        <w:overflowPunct/>
        <w:topLinePunct w:val="0"/>
        <w:autoSpaceDE/>
        <w:autoSpaceDN/>
        <w:bidi w:val="0"/>
        <w:spacing w:after="0" w:line="600" w:lineRule="exact"/>
        <w:textAlignment w:val="auto"/>
        <w:rPr>
          <w:rFonts w:hint="default" w:ascii="Times New Roman" w:hAnsi="Times New Roman" w:cs="Times New Roman"/>
          <w:color w:val="auto"/>
          <w:highlight w:val="none"/>
          <w:lang w:val="zh-CN" w:eastAsia="zh-CN"/>
        </w:rPr>
      </w:pPr>
      <w:r>
        <w:rPr>
          <w:rFonts w:hint="default" w:ascii="Times New Roman" w:hAnsi="Times New Roman" w:cs="Times New Roman"/>
          <w:color w:val="auto"/>
          <w:highlight w:val="none"/>
          <w:lang w:val="zh-CN" w:eastAsia="zh-CN"/>
        </w:rPr>
        <w:t>从发展基础看：</w:t>
      </w:r>
      <w:r>
        <w:rPr>
          <w:rFonts w:hint="default" w:ascii="楷体_GB2312" w:hAnsi="楷体_GB2312" w:eastAsia="楷体_GB2312" w:cs="楷体_GB2312"/>
          <w:b/>
          <w:bCs/>
          <w:color w:val="auto"/>
          <w:highlight w:val="none"/>
          <w:lang w:val="zh-CN" w:eastAsia="zh-CN"/>
        </w:rPr>
        <w:t>一是</w:t>
      </w:r>
      <w:r>
        <w:rPr>
          <w:rFonts w:hint="default" w:ascii="Times New Roman" w:hAnsi="Times New Roman" w:cs="Times New Roman"/>
          <w:color w:val="auto"/>
          <w:highlight w:val="none"/>
          <w:lang w:val="zh-CN" w:eastAsia="zh-CN"/>
        </w:rPr>
        <w:t>经过</w:t>
      </w:r>
      <w:r>
        <w:rPr>
          <w:rFonts w:hint="eastAsia" w:ascii="Times New Roman" w:hAnsi="Times New Roman" w:cs="Times New Roman"/>
          <w:color w:val="auto"/>
          <w:highlight w:val="none"/>
          <w:lang w:val="zh-CN" w:eastAsia="zh-CN"/>
        </w:rPr>
        <w:t>“</w:t>
      </w:r>
      <w:r>
        <w:rPr>
          <w:rFonts w:hint="default" w:ascii="Times New Roman" w:hAnsi="Times New Roman" w:cs="Times New Roman"/>
          <w:color w:val="auto"/>
          <w:highlight w:val="none"/>
          <w:lang w:val="zh-CN" w:eastAsia="zh-CN"/>
        </w:rPr>
        <w:t>十三五</w:t>
      </w:r>
      <w:r>
        <w:rPr>
          <w:rFonts w:hint="eastAsia" w:ascii="Times New Roman" w:hAnsi="Times New Roman" w:cs="Times New Roman"/>
          <w:color w:val="auto"/>
          <w:highlight w:val="none"/>
          <w:lang w:val="zh-CN" w:eastAsia="zh-CN"/>
        </w:rPr>
        <w:t>”</w:t>
      </w:r>
      <w:r>
        <w:rPr>
          <w:rFonts w:hint="default" w:ascii="Times New Roman" w:hAnsi="Times New Roman" w:cs="Times New Roman"/>
          <w:color w:val="auto"/>
          <w:highlight w:val="none"/>
          <w:lang w:val="zh-CN" w:eastAsia="zh-CN"/>
        </w:rPr>
        <w:t>时期全县上下的共同努力和不懈奋斗，我们站在了一个新的发展起点上，蓄势突破的动能高度集聚，加快发展的基础更加坚实，转型发展的优势十分明显。</w:t>
      </w:r>
      <w:r>
        <w:rPr>
          <w:rFonts w:hint="default" w:ascii="楷体_GB2312" w:hAnsi="楷体_GB2312" w:eastAsia="楷体_GB2312" w:cs="楷体_GB2312"/>
          <w:b/>
          <w:bCs/>
          <w:color w:val="auto"/>
          <w:highlight w:val="none"/>
          <w:lang w:val="zh-CN" w:eastAsia="zh-CN"/>
        </w:rPr>
        <w:t>二是</w:t>
      </w:r>
      <w:r>
        <w:rPr>
          <w:rFonts w:hint="default" w:ascii="Times New Roman" w:hAnsi="Times New Roman" w:cs="Times New Roman"/>
          <w:color w:val="auto"/>
          <w:highlight w:val="none"/>
          <w:lang w:val="zh-CN" w:eastAsia="zh-CN"/>
        </w:rPr>
        <w:t>生态环境优美，自然资源富集，是庆阳建设亿吨级大煤田的核心区，核桃峪煤矿建成投产，正宁电厂开工建设后，必将带动全县经济总量、</w:t>
      </w:r>
      <w:r>
        <w:rPr>
          <w:rFonts w:hint="default" w:ascii="Times New Roman" w:hAnsi="Times New Roman" w:eastAsia="仿宋_GB2312" w:cs="Times New Roman"/>
          <w:sz w:val="32"/>
          <w:szCs w:val="32"/>
          <w:u w:val="none" w:color="auto"/>
          <w:lang w:val="en-US" w:eastAsia="zh-CN"/>
        </w:rPr>
        <w:t>财政税收</w:t>
      </w:r>
      <w:r>
        <w:rPr>
          <w:rFonts w:hint="default" w:ascii="Times New Roman" w:hAnsi="Times New Roman" w:cs="Times New Roman"/>
          <w:color w:val="auto"/>
          <w:highlight w:val="none"/>
          <w:lang w:val="zh-CN" w:eastAsia="zh-CN"/>
        </w:rPr>
        <w:t>呈几何级增长。</w:t>
      </w:r>
      <w:r>
        <w:rPr>
          <w:rFonts w:hint="default" w:ascii="楷体_GB2312" w:hAnsi="楷体_GB2312" w:eastAsia="楷体_GB2312" w:cs="楷体_GB2312"/>
          <w:b/>
          <w:bCs/>
          <w:color w:val="auto"/>
          <w:highlight w:val="none"/>
          <w:lang w:val="zh-CN" w:eastAsia="zh-CN"/>
        </w:rPr>
        <w:t>三是</w:t>
      </w:r>
      <w:r>
        <w:rPr>
          <w:rFonts w:hint="default" w:ascii="Times New Roman" w:hAnsi="Times New Roman" w:cs="Times New Roman"/>
          <w:color w:val="auto"/>
          <w:highlight w:val="none"/>
          <w:lang w:val="zh-CN" w:eastAsia="zh-CN"/>
        </w:rPr>
        <w:t>肉牛、生猪、苹果、紫苏、大葱、老豆腐等农特产品品质优良，</w:t>
      </w:r>
      <w:r>
        <w:rPr>
          <w:rFonts w:hint="eastAsia" w:ascii="Times New Roman" w:hAnsi="Times New Roman" w:cs="Times New Roman"/>
          <w:color w:val="auto"/>
          <w:highlight w:val="none"/>
          <w:lang w:val="zh-CN" w:eastAsia="zh-CN"/>
        </w:rPr>
        <w:t>“</w:t>
      </w:r>
      <w:r>
        <w:rPr>
          <w:rFonts w:hint="default" w:ascii="Times New Roman" w:hAnsi="Times New Roman" w:cs="Times New Roman"/>
          <w:color w:val="auto"/>
          <w:highlight w:val="none"/>
          <w:lang w:val="zh-CN" w:eastAsia="zh-CN"/>
        </w:rPr>
        <w:t>两区两带</w:t>
      </w:r>
      <w:r>
        <w:rPr>
          <w:rFonts w:hint="eastAsia" w:ascii="Times New Roman" w:hAnsi="Times New Roman" w:cs="Times New Roman"/>
          <w:color w:val="auto"/>
          <w:highlight w:val="none"/>
          <w:lang w:val="zh-CN" w:eastAsia="zh-CN"/>
        </w:rPr>
        <w:t>”</w:t>
      </w:r>
      <w:r>
        <w:rPr>
          <w:rFonts w:hint="default" w:ascii="Times New Roman" w:hAnsi="Times New Roman" w:cs="Times New Roman"/>
          <w:color w:val="auto"/>
          <w:highlight w:val="none"/>
          <w:lang w:val="zh-CN" w:eastAsia="zh-CN"/>
        </w:rPr>
        <w:t>产业布局和</w:t>
      </w:r>
      <w:r>
        <w:rPr>
          <w:rFonts w:hint="eastAsia" w:ascii="Times New Roman" w:hAnsi="Times New Roman" w:cs="Times New Roman"/>
          <w:color w:val="auto"/>
          <w:highlight w:val="none"/>
          <w:lang w:val="zh-CN" w:eastAsia="zh-CN"/>
        </w:rPr>
        <w:t>“</w:t>
      </w:r>
      <w:r>
        <w:rPr>
          <w:rFonts w:hint="default" w:ascii="Times New Roman" w:hAnsi="Times New Roman" w:cs="Times New Roman"/>
          <w:color w:val="auto"/>
          <w:highlight w:val="none"/>
          <w:lang w:val="zh-CN" w:eastAsia="zh-CN"/>
        </w:rPr>
        <w:t>2121</w:t>
      </w:r>
      <w:r>
        <w:rPr>
          <w:rFonts w:hint="eastAsia" w:ascii="Times New Roman" w:hAnsi="Times New Roman" w:cs="Times New Roman"/>
          <w:color w:val="auto"/>
          <w:highlight w:val="none"/>
          <w:lang w:val="zh-CN" w:eastAsia="zh-CN"/>
        </w:rPr>
        <w:t>”</w:t>
      </w:r>
      <w:r>
        <w:rPr>
          <w:rFonts w:hint="default" w:ascii="Times New Roman" w:hAnsi="Times New Roman" w:cs="Times New Roman"/>
          <w:color w:val="auto"/>
          <w:highlight w:val="none"/>
          <w:lang w:val="zh-CN" w:eastAsia="zh-CN"/>
        </w:rPr>
        <w:t>产业发展目标实现后，必将成为稳定的绿色农产品生产供给基地。</w:t>
      </w:r>
      <w:r>
        <w:rPr>
          <w:rFonts w:hint="default" w:ascii="楷体_GB2312" w:hAnsi="楷体_GB2312" w:eastAsia="楷体_GB2312" w:cs="楷体_GB2312"/>
          <w:b/>
          <w:bCs/>
          <w:color w:val="auto"/>
          <w:highlight w:val="none"/>
          <w:lang w:val="zh-CN" w:eastAsia="zh-CN"/>
        </w:rPr>
        <w:t>四是</w:t>
      </w:r>
      <w:r>
        <w:rPr>
          <w:rFonts w:hint="default" w:ascii="Times New Roman" w:hAnsi="Times New Roman" w:cs="Times New Roman"/>
          <w:color w:val="auto"/>
          <w:highlight w:val="none"/>
          <w:lang w:val="zh-CN" w:eastAsia="zh-CN"/>
        </w:rPr>
        <w:t>随着高速、高铁</w:t>
      </w:r>
      <w:r>
        <w:rPr>
          <w:rFonts w:hint="default" w:ascii="Times New Roman" w:hAnsi="Times New Roman" w:eastAsia="仿宋_GB2312" w:cs="Times New Roman"/>
          <w:sz w:val="32"/>
          <w:szCs w:val="32"/>
          <w:lang w:val="en-US" w:eastAsia="zh-CN"/>
        </w:rPr>
        <w:t>等骨干路网的建成</w:t>
      </w:r>
      <w:r>
        <w:rPr>
          <w:rFonts w:hint="default" w:ascii="Times New Roman" w:hAnsi="Times New Roman" w:cs="Times New Roman"/>
          <w:color w:val="auto"/>
          <w:highlight w:val="none"/>
          <w:lang w:val="zh-CN" w:eastAsia="zh-CN"/>
        </w:rPr>
        <w:t>，正宁区位优势必将充分显现，为我们全面融入</w:t>
      </w:r>
      <w:r>
        <w:rPr>
          <w:rFonts w:hint="eastAsia" w:ascii="Times New Roman" w:hAnsi="Times New Roman" w:cs="Times New Roman"/>
          <w:color w:val="auto"/>
          <w:highlight w:val="none"/>
          <w:lang w:val="zh-CN" w:eastAsia="zh-CN"/>
        </w:rPr>
        <w:t>“</w:t>
      </w:r>
      <w:r>
        <w:rPr>
          <w:rFonts w:hint="default" w:ascii="Times New Roman" w:hAnsi="Times New Roman" w:cs="Times New Roman"/>
          <w:color w:val="auto"/>
          <w:highlight w:val="none"/>
          <w:lang w:val="zh-CN" w:eastAsia="zh-CN"/>
        </w:rPr>
        <w:t>一小时</w:t>
      </w:r>
      <w:r>
        <w:rPr>
          <w:rFonts w:hint="eastAsia" w:ascii="Times New Roman" w:hAnsi="Times New Roman" w:cs="Times New Roman"/>
          <w:color w:val="auto"/>
          <w:highlight w:val="none"/>
          <w:lang w:val="zh-CN" w:eastAsia="zh-CN"/>
        </w:rPr>
        <w:t>”</w:t>
      </w:r>
      <w:r>
        <w:rPr>
          <w:rFonts w:hint="default" w:ascii="Times New Roman" w:hAnsi="Times New Roman" w:cs="Times New Roman"/>
          <w:color w:val="auto"/>
          <w:highlight w:val="none"/>
          <w:lang w:val="zh-CN" w:eastAsia="zh-CN"/>
        </w:rPr>
        <w:t>关中经济区，搭乘经济快车，促进资源共享、产业共兴、市场共建、优势互补提供便利条件。</w:t>
      </w:r>
      <w:r>
        <w:rPr>
          <w:rFonts w:hint="default" w:ascii="楷体_GB2312" w:hAnsi="楷体_GB2312" w:eastAsia="楷体_GB2312" w:cs="楷体_GB2312"/>
          <w:b/>
          <w:bCs/>
          <w:color w:val="auto"/>
          <w:highlight w:val="none"/>
          <w:lang w:val="zh-CN" w:eastAsia="zh-CN"/>
        </w:rPr>
        <w:t>五是</w:t>
      </w:r>
      <w:r>
        <w:rPr>
          <w:rFonts w:hint="default" w:ascii="Times New Roman" w:hAnsi="Times New Roman" w:cs="Times New Roman"/>
          <w:color w:val="auto"/>
          <w:highlight w:val="none"/>
          <w:lang w:val="zh-CN" w:eastAsia="zh-CN"/>
        </w:rPr>
        <w:t>历史文化厚重，红色资源丰富，正宁是红色革命热土陕甘宁革命边区的重要组成部分，黄帝文化在正宁源远流长，一批文化旅游项目的相继实施，对扩大正宁的知名度，提升正宁的影响力，拉动经济社会发展将会起到积极的推动作用。</w:t>
      </w:r>
    </w:p>
    <w:p>
      <w:pPr>
        <w:pStyle w:val="10"/>
        <w:keepNext w:val="0"/>
        <w:keepLines w:val="0"/>
        <w:pageBreakBefore w:val="0"/>
        <w:widowControl w:val="0"/>
        <w:kinsoku/>
        <w:wordWrap/>
        <w:overflowPunct/>
        <w:topLinePunct w:val="0"/>
        <w:autoSpaceDE/>
        <w:autoSpaceDN/>
        <w:bidi w:val="0"/>
        <w:spacing w:after="0" w:line="600" w:lineRule="exact"/>
        <w:textAlignment w:val="auto"/>
        <w:rPr>
          <w:rFonts w:hint="default" w:ascii="Times New Roman" w:hAnsi="Times New Roman" w:cs="Times New Roman"/>
          <w:color w:val="auto"/>
          <w:highlight w:val="none"/>
          <w:lang w:val="zh-CN" w:eastAsia="zh-CN"/>
        </w:rPr>
      </w:pPr>
      <w:r>
        <w:rPr>
          <w:rFonts w:hint="default" w:ascii="Times New Roman" w:hAnsi="Times New Roman" w:cs="Times New Roman"/>
          <w:color w:val="auto"/>
          <w:highlight w:val="none"/>
          <w:lang w:val="zh-CN" w:eastAsia="zh-CN"/>
        </w:rPr>
        <w:t>从短板问题看：</w:t>
      </w:r>
      <w:r>
        <w:rPr>
          <w:rFonts w:hint="default" w:ascii="楷体_GB2312" w:hAnsi="楷体_GB2312" w:eastAsia="楷体_GB2312" w:cs="楷体_GB2312"/>
          <w:b/>
          <w:bCs/>
          <w:color w:val="auto"/>
          <w:highlight w:val="none"/>
          <w:lang w:val="zh-CN" w:eastAsia="zh-CN"/>
        </w:rPr>
        <w:t>一是</w:t>
      </w:r>
      <w:r>
        <w:rPr>
          <w:rFonts w:hint="default" w:ascii="Times New Roman" w:hAnsi="Times New Roman" w:eastAsia="仿宋_GB2312" w:cs="Times New Roman"/>
          <w:color w:val="auto"/>
          <w:sz w:val="32"/>
          <w:szCs w:val="24"/>
          <w:highlight w:val="none"/>
          <w:lang w:val="zh-CN" w:eastAsia="zh-CN"/>
        </w:rPr>
        <w:t>经济结构</w:t>
      </w:r>
      <w:r>
        <w:rPr>
          <w:rFonts w:hint="eastAsia" w:cs="Times New Roman"/>
          <w:color w:val="auto"/>
          <w:sz w:val="32"/>
          <w:szCs w:val="24"/>
          <w:highlight w:val="none"/>
          <w:lang w:val="zh-CN" w:eastAsia="zh-CN"/>
        </w:rPr>
        <w:t>不平衡</w:t>
      </w:r>
      <w:r>
        <w:rPr>
          <w:rFonts w:hint="default" w:ascii="Times New Roman" w:hAnsi="Times New Roman" w:eastAsia="仿宋_GB2312" w:cs="Times New Roman"/>
          <w:color w:val="auto"/>
          <w:sz w:val="32"/>
          <w:szCs w:val="24"/>
          <w:highlight w:val="none"/>
          <w:lang w:val="zh-CN" w:eastAsia="zh-CN"/>
        </w:rPr>
        <w:t>，</w:t>
      </w:r>
      <w:r>
        <w:rPr>
          <w:rFonts w:hint="eastAsia" w:cs="Times New Roman"/>
          <w:color w:val="auto"/>
          <w:sz w:val="32"/>
          <w:szCs w:val="24"/>
          <w:highlight w:val="none"/>
          <w:lang w:val="zh-CN" w:eastAsia="zh-CN"/>
        </w:rPr>
        <w:t>一产总体</w:t>
      </w:r>
      <w:r>
        <w:rPr>
          <w:rFonts w:hint="default" w:ascii="Times New Roman" w:hAnsi="Times New Roman" w:eastAsia="仿宋_GB2312" w:cs="Times New Roman"/>
          <w:color w:val="auto"/>
          <w:sz w:val="32"/>
          <w:szCs w:val="24"/>
          <w:highlight w:val="none"/>
          <w:lang w:val="zh-CN" w:eastAsia="zh-CN"/>
        </w:rPr>
        <w:t>不强，</w:t>
      </w:r>
      <w:r>
        <w:rPr>
          <w:rFonts w:hint="eastAsia" w:cs="Times New Roman"/>
          <w:color w:val="auto"/>
          <w:sz w:val="32"/>
          <w:szCs w:val="24"/>
          <w:highlight w:val="none"/>
          <w:lang w:val="zh-CN" w:eastAsia="zh-CN"/>
        </w:rPr>
        <w:t>二产实力弱小</w:t>
      </w:r>
      <w:r>
        <w:rPr>
          <w:rFonts w:hint="default" w:ascii="Times New Roman" w:hAnsi="Times New Roman" w:eastAsia="仿宋_GB2312" w:cs="Times New Roman"/>
          <w:color w:val="auto"/>
          <w:sz w:val="32"/>
          <w:szCs w:val="24"/>
          <w:highlight w:val="none"/>
          <w:lang w:val="zh-CN" w:eastAsia="zh-CN"/>
        </w:rPr>
        <w:t>，</w:t>
      </w:r>
      <w:r>
        <w:rPr>
          <w:rFonts w:hint="eastAsia" w:cs="Times New Roman"/>
          <w:color w:val="auto"/>
          <w:sz w:val="32"/>
          <w:szCs w:val="24"/>
          <w:highlight w:val="none"/>
          <w:lang w:val="zh-CN" w:eastAsia="zh-CN"/>
        </w:rPr>
        <w:t>三产层次偏低</w:t>
      </w:r>
      <w:r>
        <w:rPr>
          <w:rFonts w:hint="default" w:ascii="Times New Roman" w:hAnsi="Times New Roman" w:eastAsia="仿宋_GB2312" w:cs="Times New Roman"/>
          <w:color w:val="auto"/>
          <w:sz w:val="32"/>
          <w:szCs w:val="24"/>
          <w:highlight w:val="none"/>
          <w:lang w:val="zh-CN" w:eastAsia="zh-CN"/>
        </w:rPr>
        <w:t>，推动经济发展的动力不足。</w:t>
      </w:r>
      <w:r>
        <w:rPr>
          <w:rFonts w:hint="default" w:ascii="楷体_GB2312" w:hAnsi="楷体_GB2312" w:eastAsia="楷体_GB2312" w:cs="楷体_GB2312"/>
          <w:b/>
          <w:bCs/>
          <w:color w:val="auto"/>
          <w:highlight w:val="none"/>
          <w:lang w:val="zh-CN" w:eastAsia="zh-CN"/>
        </w:rPr>
        <w:t>二是</w:t>
      </w:r>
      <w:r>
        <w:rPr>
          <w:rFonts w:hint="default" w:ascii="Times New Roman" w:hAnsi="Times New Roman" w:eastAsia="仿宋_GB2312" w:cs="Times New Roman"/>
          <w:color w:val="auto"/>
          <w:sz w:val="32"/>
          <w:szCs w:val="24"/>
          <w:highlight w:val="none"/>
          <w:lang w:val="zh-CN" w:eastAsia="zh-CN"/>
        </w:rPr>
        <w:t>财政收入少、包袱沉重，自有财力不足，</w:t>
      </w:r>
      <w:r>
        <w:rPr>
          <w:rFonts w:hint="default" w:ascii="Times New Roman" w:hAnsi="Times New Roman" w:eastAsia="仿宋_GB2312" w:cs="Times New Roman"/>
          <w:sz w:val="32"/>
          <w:szCs w:val="32"/>
          <w:u w:val="none" w:color="auto"/>
          <w:lang w:val="en-US" w:eastAsia="zh-CN"/>
        </w:rPr>
        <w:t>政府债务风险增大，</w:t>
      </w:r>
      <w:r>
        <w:rPr>
          <w:rFonts w:hint="default" w:ascii="Times New Roman" w:hAnsi="Times New Roman" w:eastAsia="仿宋_GB2312" w:cs="Times New Roman"/>
          <w:color w:val="auto"/>
          <w:sz w:val="32"/>
          <w:szCs w:val="24"/>
          <w:highlight w:val="none"/>
          <w:lang w:val="zh-CN" w:eastAsia="zh-CN"/>
        </w:rPr>
        <w:t>重点项目、重大任务推进</w:t>
      </w:r>
      <w:r>
        <w:rPr>
          <w:rFonts w:hint="default" w:ascii="Times New Roman" w:hAnsi="Times New Roman" w:eastAsia="仿宋_GB2312" w:cs="Times New Roman"/>
          <w:sz w:val="32"/>
          <w:szCs w:val="32"/>
          <w:u w:val="none" w:color="auto"/>
          <w:lang w:val="en-US" w:eastAsia="zh-CN"/>
        </w:rPr>
        <w:t>受限</w:t>
      </w:r>
      <w:r>
        <w:rPr>
          <w:rFonts w:hint="default" w:ascii="Times New Roman" w:hAnsi="Times New Roman" w:eastAsia="仿宋_GB2312" w:cs="Times New Roman"/>
          <w:color w:val="auto"/>
          <w:sz w:val="32"/>
          <w:szCs w:val="24"/>
          <w:highlight w:val="none"/>
          <w:lang w:val="zh-CN" w:eastAsia="zh-CN"/>
        </w:rPr>
        <w:t>。</w:t>
      </w:r>
      <w:r>
        <w:rPr>
          <w:rFonts w:hint="default" w:ascii="楷体_GB2312" w:hAnsi="楷体_GB2312" w:eastAsia="楷体_GB2312" w:cs="楷体_GB2312"/>
          <w:b/>
          <w:bCs/>
          <w:color w:val="auto"/>
          <w:highlight w:val="none"/>
          <w:lang w:val="zh-CN" w:eastAsia="zh-CN"/>
        </w:rPr>
        <w:t>三是</w:t>
      </w:r>
      <w:r>
        <w:rPr>
          <w:rFonts w:hint="default" w:ascii="Times New Roman" w:hAnsi="Times New Roman" w:eastAsia="仿宋_GB2312" w:cs="Times New Roman"/>
          <w:color w:val="auto"/>
          <w:sz w:val="32"/>
          <w:szCs w:val="24"/>
          <w:highlight w:val="none"/>
          <w:lang w:val="zh-CN" w:eastAsia="zh-CN"/>
        </w:rPr>
        <w:t>脱贫基础尚不稳固，多因致贫风险依然存在，巩固拓展脱贫攻坚成果任务依然艰巨。</w:t>
      </w:r>
      <w:r>
        <w:rPr>
          <w:rFonts w:hint="default" w:ascii="楷体_GB2312" w:hAnsi="楷体_GB2312" w:eastAsia="楷体_GB2312" w:cs="楷体_GB2312"/>
          <w:b/>
          <w:bCs/>
          <w:color w:val="auto"/>
          <w:highlight w:val="none"/>
          <w:lang w:val="zh-CN" w:eastAsia="zh-CN"/>
        </w:rPr>
        <w:t>四是</w:t>
      </w:r>
      <w:r>
        <w:rPr>
          <w:rFonts w:hint="default" w:ascii="Times New Roman" w:hAnsi="Times New Roman" w:eastAsia="仿宋_GB2312" w:cs="Times New Roman"/>
          <w:color w:val="auto"/>
          <w:sz w:val="32"/>
          <w:szCs w:val="24"/>
          <w:highlight w:val="none"/>
          <w:lang w:val="zh-CN" w:eastAsia="zh-CN"/>
        </w:rPr>
        <w:t>农业产业化程度低，农民多以销售原料和初级产品为主，受市场波动影响较大，增收空间有限，推进市场化、产业化的任务非常艰巨。</w:t>
      </w:r>
      <w:r>
        <w:rPr>
          <w:rFonts w:hint="default" w:ascii="楷体_GB2312" w:hAnsi="楷体_GB2312" w:eastAsia="楷体_GB2312" w:cs="楷体_GB2312"/>
          <w:b/>
          <w:bCs/>
          <w:color w:val="auto"/>
          <w:highlight w:val="none"/>
          <w:lang w:val="zh-CN" w:eastAsia="zh-CN"/>
        </w:rPr>
        <w:t>五是</w:t>
      </w:r>
      <w:r>
        <w:rPr>
          <w:rFonts w:hint="default" w:ascii="Times New Roman" w:hAnsi="Times New Roman" w:eastAsia="仿宋_GB2312" w:cs="Times New Roman"/>
          <w:color w:val="auto"/>
          <w:sz w:val="32"/>
          <w:szCs w:val="24"/>
          <w:highlight w:val="none"/>
          <w:lang w:val="zh-CN" w:eastAsia="zh-CN"/>
        </w:rPr>
        <w:t>民营经济发展不充分，</w:t>
      </w:r>
      <w:r>
        <w:rPr>
          <w:rFonts w:hint="default" w:ascii="Times New Roman" w:hAnsi="Times New Roman" w:eastAsia="仿宋_GB2312" w:cs="Times New Roman"/>
          <w:color w:val="auto"/>
          <w:sz w:val="32"/>
          <w:szCs w:val="24"/>
          <w:highlight w:val="none"/>
          <w:lang w:val="zh-CN"/>
        </w:rPr>
        <w:t>民间资金沉淀和外流严重，全县银行存贷差高达40亿元，没有发挥应有效益</w:t>
      </w:r>
      <w:r>
        <w:rPr>
          <w:rFonts w:hint="default" w:ascii="Times New Roman" w:hAnsi="Times New Roman" w:eastAsia="仿宋_GB2312" w:cs="Times New Roman"/>
          <w:color w:val="auto"/>
          <w:sz w:val="32"/>
          <w:szCs w:val="24"/>
          <w:highlight w:val="none"/>
          <w:lang w:val="zh-CN" w:eastAsia="zh-CN"/>
        </w:rPr>
        <w:t>。</w:t>
      </w:r>
      <w:r>
        <w:rPr>
          <w:rFonts w:hint="default" w:ascii="楷体_GB2312" w:hAnsi="楷体_GB2312" w:eastAsia="楷体_GB2312" w:cs="楷体_GB2312"/>
          <w:b/>
          <w:bCs/>
          <w:color w:val="auto"/>
          <w:highlight w:val="none"/>
          <w:lang w:val="zh-CN" w:eastAsia="zh-CN"/>
        </w:rPr>
        <w:t>六是</w:t>
      </w:r>
      <w:r>
        <w:rPr>
          <w:rFonts w:hint="eastAsia" w:ascii="Times New Roman" w:hAnsi="Times New Roman" w:cs="Times New Roman"/>
          <w:color w:val="auto"/>
          <w:highlight w:val="none"/>
          <w:lang w:val="zh-CN" w:eastAsia="zh-CN"/>
        </w:rPr>
        <w:t>“</w:t>
      </w:r>
      <w:r>
        <w:rPr>
          <w:rFonts w:hint="default" w:ascii="Times New Roman" w:hAnsi="Times New Roman" w:cs="Times New Roman"/>
          <w:color w:val="auto"/>
          <w:highlight w:val="none"/>
          <w:lang w:val="zh-CN" w:eastAsia="zh-CN"/>
        </w:rPr>
        <w:t>去正宁化</w:t>
      </w:r>
      <w:r>
        <w:rPr>
          <w:rFonts w:hint="eastAsia" w:ascii="Times New Roman" w:hAnsi="Times New Roman" w:cs="Times New Roman"/>
          <w:color w:val="auto"/>
          <w:highlight w:val="none"/>
          <w:lang w:val="zh-CN" w:eastAsia="zh-CN"/>
        </w:rPr>
        <w:t>”</w:t>
      </w:r>
      <w:r>
        <w:rPr>
          <w:rFonts w:hint="default" w:ascii="Times New Roman" w:hAnsi="Times New Roman" w:cs="Times New Roman"/>
          <w:color w:val="auto"/>
          <w:highlight w:val="none"/>
          <w:lang w:val="zh-CN" w:eastAsia="zh-CN"/>
        </w:rPr>
        <w:t>问题比较突出，超过三分之一的人口不在正宁生活、工作</w:t>
      </w:r>
      <w:r>
        <w:rPr>
          <w:rFonts w:hint="default" w:ascii="Times New Roman" w:hAnsi="Times New Roman" w:eastAsia="仿宋_GB2312" w:cs="Times New Roman"/>
          <w:color w:val="auto"/>
          <w:sz w:val="32"/>
          <w:szCs w:val="24"/>
          <w:highlight w:val="none"/>
          <w:lang w:val="zh-CN" w:eastAsia="zh-CN"/>
        </w:rPr>
        <w:t>，常住人口减少，消费拉动经济发展的动能不足</w:t>
      </w:r>
      <w:r>
        <w:rPr>
          <w:rFonts w:hint="default" w:ascii="Times New Roman" w:hAnsi="Times New Roman" w:cs="Times New Roman"/>
          <w:color w:val="auto"/>
          <w:highlight w:val="none"/>
          <w:lang w:val="zh-CN" w:eastAsia="zh-CN"/>
        </w:rPr>
        <w:t>。</w:t>
      </w:r>
      <w:r>
        <w:rPr>
          <w:rFonts w:hint="default" w:ascii="楷体_GB2312" w:hAnsi="楷体_GB2312" w:eastAsia="楷体_GB2312" w:cs="楷体_GB2312"/>
          <w:b/>
          <w:bCs/>
          <w:color w:val="auto"/>
          <w:highlight w:val="none"/>
          <w:lang w:val="zh-CN" w:eastAsia="zh-CN"/>
        </w:rPr>
        <w:t>七是</w:t>
      </w:r>
      <w:r>
        <w:rPr>
          <w:rFonts w:hint="default" w:ascii="Times New Roman" w:hAnsi="Times New Roman" w:eastAsia="仿宋_GB2312" w:cs="Times New Roman"/>
          <w:sz w:val="32"/>
          <w:szCs w:val="32"/>
          <w:u w:val="none" w:color="auto"/>
          <w:lang w:val="en-US" w:eastAsia="zh-CN"/>
        </w:rPr>
        <w:t>公共服务管理水平不够高</w:t>
      </w:r>
      <w:r>
        <w:rPr>
          <w:rFonts w:hint="default" w:ascii="Times New Roman" w:hAnsi="Times New Roman" w:cs="Times New Roman"/>
          <w:color w:val="auto"/>
          <w:highlight w:val="none"/>
          <w:lang w:val="zh-CN" w:eastAsia="zh-CN"/>
        </w:rPr>
        <w:t>，项目前期论证不充分，决策机制不完善，资金管理不规范，建设进度缓慢，投资风险较高，营商环境</w:t>
      </w:r>
      <w:r>
        <w:rPr>
          <w:rFonts w:hint="default" w:ascii="Times New Roman" w:hAnsi="Times New Roman" w:eastAsia="仿宋_GB2312" w:cs="Times New Roman"/>
          <w:color w:val="auto"/>
          <w:sz w:val="32"/>
          <w:szCs w:val="24"/>
          <w:highlight w:val="none"/>
          <w:lang w:val="zh-CN" w:eastAsia="zh-CN"/>
        </w:rPr>
        <w:t>有待进一步改善</w:t>
      </w:r>
      <w:r>
        <w:rPr>
          <w:rFonts w:hint="default" w:ascii="Times New Roman" w:hAnsi="Times New Roman" w:cs="Times New Roman"/>
          <w:color w:val="auto"/>
          <w:highlight w:val="none"/>
          <w:lang w:val="zh-CN" w:eastAsia="zh-CN"/>
        </w:rPr>
        <w:t>。</w:t>
      </w:r>
      <w:r>
        <w:rPr>
          <w:rFonts w:hint="default" w:ascii="楷体_GB2312" w:hAnsi="楷体_GB2312" w:eastAsia="楷体_GB2312" w:cs="楷体_GB2312"/>
          <w:b/>
          <w:bCs/>
          <w:color w:val="auto"/>
          <w:highlight w:val="none"/>
          <w:lang w:val="zh-CN" w:eastAsia="zh-CN"/>
        </w:rPr>
        <w:t>八是</w:t>
      </w:r>
      <w:r>
        <w:rPr>
          <w:rFonts w:hint="default" w:ascii="Times New Roman" w:hAnsi="Times New Roman" w:cs="Times New Roman"/>
          <w:color w:val="auto"/>
          <w:highlight w:val="none"/>
          <w:lang w:val="zh-CN" w:eastAsia="zh-CN"/>
        </w:rPr>
        <w:t>规划</w:t>
      </w:r>
      <w:r>
        <w:rPr>
          <w:rFonts w:hint="default" w:ascii="Times New Roman" w:hAnsi="Times New Roman" w:eastAsia="仿宋_GB2312" w:cs="Times New Roman"/>
          <w:color w:val="auto"/>
          <w:sz w:val="32"/>
          <w:szCs w:val="24"/>
          <w:highlight w:val="none"/>
          <w:lang w:val="zh-CN" w:eastAsia="zh-CN"/>
        </w:rPr>
        <w:t>意识不强，</w:t>
      </w:r>
      <w:r>
        <w:rPr>
          <w:rFonts w:hint="default" w:ascii="Times New Roman" w:hAnsi="Times New Roman" w:cs="Times New Roman"/>
          <w:color w:val="auto"/>
          <w:highlight w:val="none"/>
          <w:lang w:val="zh-CN" w:eastAsia="zh-CN"/>
        </w:rPr>
        <w:t>管理相对滞后，产业发展、城市建设</w:t>
      </w:r>
      <w:r>
        <w:rPr>
          <w:rFonts w:hint="default" w:ascii="Times New Roman" w:hAnsi="Times New Roman" w:eastAsia="仿宋_GB2312" w:cs="Times New Roman"/>
          <w:sz w:val="32"/>
          <w:szCs w:val="32"/>
          <w:u w:val="none" w:color="auto"/>
          <w:lang w:val="en-US" w:eastAsia="zh-CN"/>
        </w:rPr>
        <w:t>等方面历史遗留问题较多</w:t>
      </w:r>
      <w:r>
        <w:rPr>
          <w:rFonts w:hint="default" w:ascii="Times New Roman" w:hAnsi="Times New Roman" w:cs="Times New Roman"/>
          <w:color w:val="auto"/>
          <w:highlight w:val="none"/>
          <w:lang w:val="zh-CN" w:eastAsia="zh-CN"/>
        </w:rPr>
        <w:t>。</w:t>
      </w:r>
      <w:r>
        <w:rPr>
          <w:rFonts w:hint="default" w:ascii="楷体_GB2312" w:hAnsi="楷体_GB2312" w:eastAsia="楷体_GB2312" w:cs="楷体_GB2312"/>
          <w:b/>
          <w:bCs/>
          <w:color w:val="auto"/>
          <w:highlight w:val="none"/>
          <w:lang w:val="zh-CN" w:eastAsia="zh-CN"/>
        </w:rPr>
        <w:t>九是</w:t>
      </w:r>
      <w:r>
        <w:rPr>
          <w:rFonts w:hint="default" w:ascii="Times New Roman" w:hAnsi="Times New Roman" w:eastAsia="仿宋_GB2312" w:cs="Times New Roman"/>
          <w:sz w:val="32"/>
          <w:szCs w:val="32"/>
          <w:u w:val="none" w:color="auto"/>
          <w:lang w:val="en-US" w:eastAsia="zh-CN"/>
        </w:rPr>
        <w:t>民生保障和社会事业领域还有不少短板问题，基础设施还不够完善，生态环保任重道远，</w:t>
      </w:r>
      <w:r>
        <w:rPr>
          <w:rFonts w:hint="default" w:ascii="Times New Roman" w:hAnsi="Times New Roman" w:eastAsia="仿宋_GB2312" w:cs="Times New Roman"/>
          <w:sz w:val="32"/>
          <w:szCs w:val="32"/>
          <w:u w:val="none" w:color="auto"/>
        </w:rPr>
        <w:t>交通出口不畅，教育、医疗、养老等公共服务与群众需求还有较大差距</w:t>
      </w:r>
      <w:r>
        <w:rPr>
          <w:rFonts w:hint="default" w:ascii="Times New Roman" w:hAnsi="Times New Roman" w:eastAsia="仿宋_GB2312" w:cs="Times New Roman"/>
          <w:sz w:val="32"/>
          <w:szCs w:val="32"/>
          <w:u w:val="none" w:color="auto"/>
          <w:lang w:eastAsia="zh-CN"/>
        </w:rPr>
        <w:t>，</w:t>
      </w:r>
      <w:r>
        <w:rPr>
          <w:rFonts w:hint="default" w:ascii="Times New Roman" w:hAnsi="Times New Roman" w:eastAsia="仿宋_GB2312" w:cs="Times New Roman"/>
          <w:sz w:val="32"/>
          <w:szCs w:val="32"/>
          <w:u w:val="none" w:color="auto"/>
          <w:lang w:val="en-US" w:eastAsia="zh-CN"/>
        </w:rPr>
        <w:t>一些深层次体制机制障碍尚未得到有效破解</w:t>
      </w:r>
      <w:r>
        <w:rPr>
          <w:rFonts w:hint="default" w:ascii="Times New Roman" w:hAnsi="Times New Roman" w:cs="Times New Roman"/>
          <w:color w:val="auto"/>
          <w:highlight w:val="none"/>
          <w:lang w:val="zh-CN" w:eastAsia="zh-CN"/>
        </w:rPr>
        <w:t>。</w:t>
      </w:r>
      <w:r>
        <w:rPr>
          <w:rFonts w:hint="default" w:ascii="楷体_GB2312" w:hAnsi="楷体_GB2312" w:eastAsia="楷体_GB2312" w:cs="楷体_GB2312"/>
          <w:b/>
          <w:bCs/>
          <w:color w:val="auto"/>
          <w:highlight w:val="none"/>
          <w:lang w:val="zh-CN" w:eastAsia="zh-CN"/>
        </w:rPr>
        <w:t>十是</w:t>
      </w:r>
      <w:r>
        <w:rPr>
          <w:rFonts w:hint="default" w:ascii="Times New Roman" w:hAnsi="Times New Roman" w:cs="Times New Roman"/>
          <w:color w:val="auto"/>
          <w:highlight w:val="none"/>
          <w:lang w:val="zh-CN" w:eastAsia="zh-CN"/>
        </w:rPr>
        <w:t>劳动者的整体素质不高，特别是经营管理人才、专业技术人才和农村实用人才缺乏，一些干部思想观念不够解放、干事创业激情不足。</w:t>
      </w:r>
    </w:p>
    <w:p>
      <w:pPr>
        <w:pStyle w:val="10"/>
        <w:keepNext w:val="0"/>
        <w:keepLines w:val="0"/>
        <w:pageBreakBefore w:val="0"/>
        <w:widowControl w:val="0"/>
        <w:kinsoku/>
        <w:wordWrap/>
        <w:overflowPunct/>
        <w:topLinePunct w:val="0"/>
        <w:autoSpaceDE/>
        <w:autoSpaceDN/>
        <w:bidi w:val="0"/>
        <w:spacing w:after="0" w:line="600" w:lineRule="exact"/>
        <w:textAlignment w:val="auto"/>
      </w:pPr>
      <w:r>
        <w:rPr>
          <w:rFonts w:hint="default" w:ascii="Times New Roman" w:hAnsi="Times New Roman" w:eastAsia="仿宋_GB2312" w:cs="Times New Roman"/>
          <w:sz w:val="32"/>
          <w:szCs w:val="32"/>
          <w:u w:val="none" w:color="auto"/>
        </w:rPr>
        <w:t>综合研判，</w:t>
      </w:r>
      <w:r>
        <w:rPr>
          <w:rFonts w:hint="eastAsia" w:ascii="Times New Roman" w:hAnsi="Times New Roman" w:cs="Times New Roman"/>
          <w:sz w:val="32"/>
          <w:szCs w:val="32"/>
          <w:u w:val="none" w:color="auto"/>
          <w:lang w:eastAsia="zh-CN"/>
        </w:rPr>
        <w:t>“</w:t>
      </w:r>
      <w:r>
        <w:rPr>
          <w:rFonts w:hint="default" w:ascii="Times New Roman" w:hAnsi="Times New Roman" w:eastAsia="仿宋_GB2312" w:cs="Times New Roman"/>
          <w:sz w:val="32"/>
          <w:szCs w:val="32"/>
          <w:u w:val="none" w:color="auto"/>
        </w:rPr>
        <w:t>十四五</w:t>
      </w:r>
      <w:r>
        <w:rPr>
          <w:rFonts w:hint="eastAsia" w:ascii="Times New Roman" w:hAnsi="Times New Roman" w:cs="Times New Roman"/>
          <w:sz w:val="32"/>
          <w:szCs w:val="32"/>
          <w:u w:val="none" w:color="auto"/>
          <w:lang w:eastAsia="zh-CN"/>
        </w:rPr>
        <w:t>”</w:t>
      </w:r>
      <w:r>
        <w:rPr>
          <w:rFonts w:hint="default" w:ascii="Times New Roman" w:hAnsi="Times New Roman" w:eastAsia="仿宋_GB2312" w:cs="Times New Roman"/>
          <w:sz w:val="32"/>
          <w:szCs w:val="32"/>
          <w:u w:val="none" w:color="auto"/>
        </w:rPr>
        <w:t>时期，我县面临机遇与挑战并存、机遇大于挑战的发展环境，总体上处在多重发展机遇的叠加期、深化改革开放的攻坚期、弥补基础短板的突破期、经济转型升级的关键期、缩小发展差距的窗口期。全县上下必须把思想认识高度统一到党中央对国际国内形势重要判断上来，深刻认识社会主要矛盾变化带来的新特征新要求</w:t>
      </w:r>
      <w:r>
        <w:rPr>
          <w:rFonts w:hint="default" w:ascii="Times New Roman" w:hAnsi="Times New Roman" w:eastAsia="仿宋_GB2312" w:cs="Times New Roman"/>
          <w:sz w:val="32"/>
          <w:szCs w:val="32"/>
          <w:u w:val="none" w:color="auto"/>
          <w:lang w:eastAsia="zh-CN"/>
        </w:rPr>
        <w:t>，</w:t>
      </w:r>
      <w:r>
        <w:rPr>
          <w:rFonts w:hint="default" w:ascii="Times New Roman" w:hAnsi="Times New Roman" w:eastAsia="仿宋_GB2312" w:cs="Times New Roman"/>
          <w:sz w:val="32"/>
          <w:szCs w:val="32"/>
          <w:u w:val="none" w:color="auto"/>
        </w:rPr>
        <w:t>深刻认识我县所处发展阶段和面临</w:t>
      </w:r>
      <w:r>
        <w:rPr>
          <w:rFonts w:hint="default" w:ascii="Times New Roman" w:hAnsi="Times New Roman" w:eastAsia="仿宋_GB2312" w:cs="Times New Roman"/>
          <w:sz w:val="32"/>
          <w:szCs w:val="32"/>
          <w:u w:val="none" w:color="auto"/>
          <w:lang w:val="en-US" w:eastAsia="zh-CN"/>
        </w:rPr>
        <w:t>的</w:t>
      </w:r>
      <w:r>
        <w:rPr>
          <w:rFonts w:hint="default" w:ascii="Times New Roman" w:hAnsi="Times New Roman" w:eastAsia="仿宋_GB2312" w:cs="Times New Roman"/>
          <w:sz w:val="32"/>
          <w:szCs w:val="32"/>
          <w:u w:val="none" w:color="auto"/>
        </w:rPr>
        <w:t>发展任务</w:t>
      </w:r>
      <w:r>
        <w:rPr>
          <w:rFonts w:hint="default" w:ascii="Times New Roman" w:hAnsi="Times New Roman" w:eastAsia="仿宋_GB2312" w:cs="Times New Roman"/>
          <w:sz w:val="32"/>
          <w:szCs w:val="32"/>
          <w:u w:val="none" w:color="auto"/>
          <w:lang w:eastAsia="zh-CN"/>
        </w:rPr>
        <w:t>，</w:t>
      </w:r>
      <w:r>
        <w:rPr>
          <w:rFonts w:hint="default" w:ascii="Times New Roman" w:hAnsi="Times New Roman" w:eastAsia="仿宋_GB2312" w:cs="Times New Roman"/>
          <w:sz w:val="32"/>
          <w:szCs w:val="32"/>
          <w:u w:val="none" w:color="auto"/>
        </w:rPr>
        <w:t>牢牢把握进入新发展阶段、贯彻新发展理念、构建新发展格局的丰富内涵和实践要求，增强机遇意识和风险意识，保持战略定力，发扬斗争精神，树立底线思维，准确识变、科学应变、主动求变，在危机中育先机、于变局中开新局，不断把全县各项事业推向前进</w:t>
      </w:r>
      <w:r>
        <w:rPr>
          <w:rFonts w:hint="default" w:ascii="Times New Roman" w:hAnsi="Times New Roman" w:eastAsia="仿宋_GB2312" w:cs="Times New Roman"/>
          <w:sz w:val="32"/>
          <w:szCs w:val="32"/>
        </w:rPr>
        <w:t>。</w:t>
      </w:r>
      <w:bookmarkStart w:id="3" w:name="qygh 034"/>
      <w:bookmarkEnd w:id="3"/>
      <w:r>
        <w:rPr>
          <w:rFonts w:hint="eastAsia" w:ascii="仿宋_GB2312" w:eastAsia="仿宋_GB2312"/>
          <w:sz w:val="32"/>
          <w:szCs w:val="32"/>
          <w:u w:val="none"/>
          <w:lang w:val="en-US" w:eastAsia="zh-CN"/>
        </w:rPr>
        <w:t xml:space="preserve"> </w:t>
      </w:r>
      <w:r>
        <w:rPr>
          <w:rFonts w:hint="eastAsia" w:ascii="仿宋_GB2312" w:eastAsia="仿宋_GB2312"/>
          <w:sz w:val="32"/>
          <w:szCs w:val="32"/>
          <w:lang w:val="en-US" w:eastAsia="zh-CN"/>
        </w:rPr>
        <w:t xml:space="preserve"> </w:t>
      </w:r>
    </w:p>
    <w:sectPr>
      <w:footerReference r:id="rId4" w:type="default"/>
      <w:pgSz w:w="11906" w:h="16838"/>
      <w:pgMar w:top="1984" w:right="1531" w:bottom="1814" w:left="1531" w:header="851" w:footer="130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80"/>
      <w:jc w:val="center"/>
    </w:pPr>
    <w:r>
      <w:rPr>
        <w:sz w:val="21"/>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-112395</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85pt;height:144pt;width:144pt;mso-position-horizontal:outside;mso-position-horizontal-relative:margin;mso-wrap-style:none;z-index:251665408;mso-width-relative:page;mso-height-relative:page;" filled="f" stroked="f" coordsize="21600,21600" o:gfxdata="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Uoi0dYAAAAIAQAADwAAAAAAAAABACAAAAAiAAAAZHJzL2Rvd25yZXYueG1s&#10;UEsBAhQAFAAAAAgAh07iQEdNuWIzAgAAYwQAAA4AAAAAAAAAAQAgAAAAJQEAAGRycy9lMm9Eb2Mu&#10;eG1sUEsFBgAAAAAGAAYAWQEAAMoFAAAAAA==&#10;">
              <v:fill on="f" focussize="0,0"/>
              <v:stroke on="f" weight="0.5pt"/>
              <v:imagedata o:title=""/>
              <o:lock v:ext="edit" aspectratio="f"/>
              <v:textbox inset="0mm,0mm,0mm,0mm" style="mso-fit-shape-to-text:t;">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12"/>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80"/>
      <w:jc w:val="center"/>
    </w:pPr>
    <w:r>
      <w:rPr>
        <w:sz w:val="21"/>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-112395</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85pt;height:144pt;width:144pt;mso-position-horizontal:outside;mso-position-horizontal-relative:margin;mso-wrap-style:none;z-index:251671552;mso-width-relative:page;mso-height-relative:page;" filled="f" stroked="f" coordsize="21600,21600" o:gfxdata="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Uoi0dYAAAAIAQAADwAAAAAAAAABACAAAAAiAAAAZHJzL2Rvd25yZXYueG1s&#10;UEsBAhQAFAAAAAgAh07iQFO3cvAzAgAAYwQAAA4AAAAAAAAAAQAgAAAAJQEAAGRycy9lMm9Eb2Mu&#10;eG1sUEsFBgAAAAAGAAYAWQEAAMoFAAAAAA==&#10;">
              <v:fill on="f" focussize="0,0"/>
              <v:stroke on="f" weight="0.5pt"/>
              <v:imagedata o:title=""/>
              <o:lock v:ext="edit" aspectratio="f"/>
              <v:textbox inset="0mm,0mm,0mm,0mm" style="mso-fit-shape-to-text:t;">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12"/>
      <w:ind w:firstLine="48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4202"/>
    <w:rsid w:val="00616581"/>
    <w:rsid w:val="006B47C3"/>
    <w:rsid w:val="007D3E5C"/>
    <w:rsid w:val="01973FDA"/>
    <w:rsid w:val="01D317D9"/>
    <w:rsid w:val="01ED2537"/>
    <w:rsid w:val="01ED5F09"/>
    <w:rsid w:val="01F64FEB"/>
    <w:rsid w:val="022B41E8"/>
    <w:rsid w:val="0273180E"/>
    <w:rsid w:val="02B10FBE"/>
    <w:rsid w:val="02C02833"/>
    <w:rsid w:val="02CB5145"/>
    <w:rsid w:val="030761D4"/>
    <w:rsid w:val="032E2513"/>
    <w:rsid w:val="0335567A"/>
    <w:rsid w:val="0339440F"/>
    <w:rsid w:val="03854F63"/>
    <w:rsid w:val="04A05C90"/>
    <w:rsid w:val="04A82065"/>
    <w:rsid w:val="04B65A14"/>
    <w:rsid w:val="04C3207C"/>
    <w:rsid w:val="04E03A36"/>
    <w:rsid w:val="04F12388"/>
    <w:rsid w:val="051F6B0E"/>
    <w:rsid w:val="054D1670"/>
    <w:rsid w:val="05836AA8"/>
    <w:rsid w:val="05844B18"/>
    <w:rsid w:val="058E2921"/>
    <w:rsid w:val="05992884"/>
    <w:rsid w:val="05993989"/>
    <w:rsid w:val="059E5956"/>
    <w:rsid w:val="05AD0230"/>
    <w:rsid w:val="05C62A86"/>
    <w:rsid w:val="05D0581A"/>
    <w:rsid w:val="062701B2"/>
    <w:rsid w:val="063254A5"/>
    <w:rsid w:val="063D2F4B"/>
    <w:rsid w:val="06A775CE"/>
    <w:rsid w:val="06AD06AB"/>
    <w:rsid w:val="06AF44E0"/>
    <w:rsid w:val="06E26835"/>
    <w:rsid w:val="06E41751"/>
    <w:rsid w:val="07161B53"/>
    <w:rsid w:val="07343D8F"/>
    <w:rsid w:val="073C066D"/>
    <w:rsid w:val="07627C99"/>
    <w:rsid w:val="07BF6E5E"/>
    <w:rsid w:val="08090F32"/>
    <w:rsid w:val="09222B86"/>
    <w:rsid w:val="092C3874"/>
    <w:rsid w:val="09487A06"/>
    <w:rsid w:val="099D0BAA"/>
    <w:rsid w:val="09AF4901"/>
    <w:rsid w:val="09BF3205"/>
    <w:rsid w:val="09C4177B"/>
    <w:rsid w:val="09DD7536"/>
    <w:rsid w:val="09ED3B07"/>
    <w:rsid w:val="09EE1A9B"/>
    <w:rsid w:val="09F3283A"/>
    <w:rsid w:val="09FF7D40"/>
    <w:rsid w:val="0A0169BF"/>
    <w:rsid w:val="0A0F50CE"/>
    <w:rsid w:val="0A4D2D00"/>
    <w:rsid w:val="0A4F0CFD"/>
    <w:rsid w:val="0A561C91"/>
    <w:rsid w:val="0AD9203D"/>
    <w:rsid w:val="0B420417"/>
    <w:rsid w:val="0B461EB6"/>
    <w:rsid w:val="0B71323F"/>
    <w:rsid w:val="0BA770F1"/>
    <w:rsid w:val="0BD25429"/>
    <w:rsid w:val="0BE238F5"/>
    <w:rsid w:val="0BEF6F32"/>
    <w:rsid w:val="0BF01AD1"/>
    <w:rsid w:val="0C0B7974"/>
    <w:rsid w:val="0C553148"/>
    <w:rsid w:val="0CAA33EB"/>
    <w:rsid w:val="0CBA0920"/>
    <w:rsid w:val="0D1D2E93"/>
    <w:rsid w:val="0D8449E0"/>
    <w:rsid w:val="0D856617"/>
    <w:rsid w:val="0D9F578B"/>
    <w:rsid w:val="0DA91C83"/>
    <w:rsid w:val="0DC776C5"/>
    <w:rsid w:val="0E3A6D65"/>
    <w:rsid w:val="0E455A98"/>
    <w:rsid w:val="0E497CB6"/>
    <w:rsid w:val="0E67550B"/>
    <w:rsid w:val="0E6A3E08"/>
    <w:rsid w:val="0E6D288E"/>
    <w:rsid w:val="0E7374B1"/>
    <w:rsid w:val="0E876DEF"/>
    <w:rsid w:val="0E975937"/>
    <w:rsid w:val="0EAB2209"/>
    <w:rsid w:val="0EF351FE"/>
    <w:rsid w:val="0EFC79A4"/>
    <w:rsid w:val="0F1C5DA6"/>
    <w:rsid w:val="0F2B663B"/>
    <w:rsid w:val="0F3D118D"/>
    <w:rsid w:val="100B4F6E"/>
    <w:rsid w:val="101C6587"/>
    <w:rsid w:val="10202C0B"/>
    <w:rsid w:val="104663CA"/>
    <w:rsid w:val="10615CFB"/>
    <w:rsid w:val="10D569AA"/>
    <w:rsid w:val="11121A47"/>
    <w:rsid w:val="114468DC"/>
    <w:rsid w:val="11B143A7"/>
    <w:rsid w:val="11FC5D93"/>
    <w:rsid w:val="12432366"/>
    <w:rsid w:val="124B2DCC"/>
    <w:rsid w:val="12752280"/>
    <w:rsid w:val="12782DFF"/>
    <w:rsid w:val="12AA5A4D"/>
    <w:rsid w:val="12BD7B2B"/>
    <w:rsid w:val="12BF7933"/>
    <w:rsid w:val="12E069CE"/>
    <w:rsid w:val="13075B1E"/>
    <w:rsid w:val="130C6501"/>
    <w:rsid w:val="132C5061"/>
    <w:rsid w:val="132D5E6B"/>
    <w:rsid w:val="134027E7"/>
    <w:rsid w:val="137F4455"/>
    <w:rsid w:val="1390218A"/>
    <w:rsid w:val="13932B5A"/>
    <w:rsid w:val="13A32798"/>
    <w:rsid w:val="13B123E3"/>
    <w:rsid w:val="13CD5A2A"/>
    <w:rsid w:val="142445F5"/>
    <w:rsid w:val="144A13FE"/>
    <w:rsid w:val="144C15DB"/>
    <w:rsid w:val="14680118"/>
    <w:rsid w:val="146A4428"/>
    <w:rsid w:val="146C5D02"/>
    <w:rsid w:val="14777407"/>
    <w:rsid w:val="147A268F"/>
    <w:rsid w:val="14B7481C"/>
    <w:rsid w:val="14BA78CF"/>
    <w:rsid w:val="15307E3F"/>
    <w:rsid w:val="15C14238"/>
    <w:rsid w:val="15DE3220"/>
    <w:rsid w:val="16227B7A"/>
    <w:rsid w:val="16345851"/>
    <w:rsid w:val="16346D9F"/>
    <w:rsid w:val="16545EC9"/>
    <w:rsid w:val="166D6DA9"/>
    <w:rsid w:val="1682111F"/>
    <w:rsid w:val="16D50957"/>
    <w:rsid w:val="16EA23A1"/>
    <w:rsid w:val="16FB7A06"/>
    <w:rsid w:val="17054782"/>
    <w:rsid w:val="1769232E"/>
    <w:rsid w:val="178F0B0E"/>
    <w:rsid w:val="17A40730"/>
    <w:rsid w:val="17B575B8"/>
    <w:rsid w:val="181078D6"/>
    <w:rsid w:val="182D14A9"/>
    <w:rsid w:val="18AF1E2B"/>
    <w:rsid w:val="18B44D3A"/>
    <w:rsid w:val="18ED7AE3"/>
    <w:rsid w:val="190478CA"/>
    <w:rsid w:val="195A5D27"/>
    <w:rsid w:val="197D7027"/>
    <w:rsid w:val="19A56024"/>
    <w:rsid w:val="19CE0F29"/>
    <w:rsid w:val="19E949A8"/>
    <w:rsid w:val="19F33752"/>
    <w:rsid w:val="19FC2AD9"/>
    <w:rsid w:val="19FC6112"/>
    <w:rsid w:val="1A38364A"/>
    <w:rsid w:val="1A650613"/>
    <w:rsid w:val="1A7846F9"/>
    <w:rsid w:val="1A912A9C"/>
    <w:rsid w:val="1ABD1603"/>
    <w:rsid w:val="1ACF1C53"/>
    <w:rsid w:val="1B012BAE"/>
    <w:rsid w:val="1B12349E"/>
    <w:rsid w:val="1B56433D"/>
    <w:rsid w:val="1B602A28"/>
    <w:rsid w:val="1B6871C3"/>
    <w:rsid w:val="1BB4410D"/>
    <w:rsid w:val="1BB559E2"/>
    <w:rsid w:val="1C0F718B"/>
    <w:rsid w:val="1C25110C"/>
    <w:rsid w:val="1C63640C"/>
    <w:rsid w:val="1CA2714A"/>
    <w:rsid w:val="1CE95E95"/>
    <w:rsid w:val="1CEA7A5B"/>
    <w:rsid w:val="1D0E54DC"/>
    <w:rsid w:val="1D2848BD"/>
    <w:rsid w:val="1DB46F81"/>
    <w:rsid w:val="1DF339B3"/>
    <w:rsid w:val="1E09370E"/>
    <w:rsid w:val="1E9E71BE"/>
    <w:rsid w:val="1EA045B4"/>
    <w:rsid w:val="1ED92BF6"/>
    <w:rsid w:val="1F694330"/>
    <w:rsid w:val="1FA00FBF"/>
    <w:rsid w:val="1FAC6C02"/>
    <w:rsid w:val="1FB42847"/>
    <w:rsid w:val="1FEB5F4B"/>
    <w:rsid w:val="1FFE6D2C"/>
    <w:rsid w:val="20043947"/>
    <w:rsid w:val="200A56F6"/>
    <w:rsid w:val="20F92247"/>
    <w:rsid w:val="21337F93"/>
    <w:rsid w:val="213B1540"/>
    <w:rsid w:val="21A071DE"/>
    <w:rsid w:val="21A55669"/>
    <w:rsid w:val="21C901FA"/>
    <w:rsid w:val="21DF6190"/>
    <w:rsid w:val="21EF68EC"/>
    <w:rsid w:val="2223397D"/>
    <w:rsid w:val="2240263B"/>
    <w:rsid w:val="229F7F53"/>
    <w:rsid w:val="233241A4"/>
    <w:rsid w:val="23451203"/>
    <w:rsid w:val="23622263"/>
    <w:rsid w:val="23AA6C97"/>
    <w:rsid w:val="23DD154C"/>
    <w:rsid w:val="240D635B"/>
    <w:rsid w:val="24203049"/>
    <w:rsid w:val="2463312E"/>
    <w:rsid w:val="24933DE0"/>
    <w:rsid w:val="24D92432"/>
    <w:rsid w:val="24ED607C"/>
    <w:rsid w:val="253C7A86"/>
    <w:rsid w:val="25757C15"/>
    <w:rsid w:val="257E4D1D"/>
    <w:rsid w:val="25A66A26"/>
    <w:rsid w:val="25DE774A"/>
    <w:rsid w:val="25F22E73"/>
    <w:rsid w:val="26160D35"/>
    <w:rsid w:val="264834EA"/>
    <w:rsid w:val="268216BB"/>
    <w:rsid w:val="26B30DDC"/>
    <w:rsid w:val="26D253E7"/>
    <w:rsid w:val="26D94AEC"/>
    <w:rsid w:val="26DD5114"/>
    <w:rsid w:val="271404A7"/>
    <w:rsid w:val="274876B5"/>
    <w:rsid w:val="274C3AFE"/>
    <w:rsid w:val="278B5D89"/>
    <w:rsid w:val="27B676C2"/>
    <w:rsid w:val="27E70B92"/>
    <w:rsid w:val="27FE6C47"/>
    <w:rsid w:val="282A1E9A"/>
    <w:rsid w:val="2846276B"/>
    <w:rsid w:val="284E1BE7"/>
    <w:rsid w:val="286F330E"/>
    <w:rsid w:val="28D85F4D"/>
    <w:rsid w:val="28F7725D"/>
    <w:rsid w:val="290066FB"/>
    <w:rsid w:val="290D57D6"/>
    <w:rsid w:val="291B5824"/>
    <w:rsid w:val="293E066A"/>
    <w:rsid w:val="294363B5"/>
    <w:rsid w:val="29707DE8"/>
    <w:rsid w:val="2972046E"/>
    <w:rsid w:val="29890473"/>
    <w:rsid w:val="29C573AF"/>
    <w:rsid w:val="29C752D9"/>
    <w:rsid w:val="2A3B1738"/>
    <w:rsid w:val="2A5B6C7C"/>
    <w:rsid w:val="2A847F6E"/>
    <w:rsid w:val="2A945DA5"/>
    <w:rsid w:val="2AB15BDE"/>
    <w:rsid w:val="2AC9321D"/>
    <w:rsid w:val="2AF96608"/>
    <w:rsid w:val="2B116004"/>
    <w:rsid w:val="2B196F4B"/>
    <w:rsid w:val="2B397206"/>
    <w:rsid w:val="2B52760C"/>
    <w:rsid w:val="2B870AD0"/>
    <w:rsid w:val="2BAD1984"/>
    <w:rsid w:val="2BBA32CD"/>
    <w:rsid w:val="2BE6032C"/>
    <w:rsid w:val="2BEC0B28"/>
    <w:rsid w:val="2BFF312C"/>
    <w:rsid w:val="2C82292B"/>
    <w:rsid w:val="2C8D42EE"/>
    <w:rsid w:val="2CA5550A"/>
    <w:rsid w:val="2CF66271"/>
    <w:rsid w:val="2D0724F6"/>
    <w:rsid w:val="2D177EA5"/>
    <w:rsid w:val="2D2E27DC"/>
    <w:rsid w:val="2D746F5B"/>
    <w:rsid w:val="2D7765CE"/>
    <w:rsid w:val="2DB021A9"/>
    <w:rsid w:val="2DC651F7"/>
    <w:rsid w:val="2E167E39"/>
    <w:rsid w:val="2E1C595D"/>
    <w:rsid w:val="2E3222F2"/>
    <w:rsid w:val="2E492D63"/>
    <w:rsid w:val="2E4D2F32"/>
    <w:rsid w:val="2E576A9D"/>
    <w:rsid w:val="2E7A13D3"/>
    <w:rsid w:val="2E8D708B"/>
    <w:rsid w:val="2E8E3E89"/>
    <w:rsid w:val="2F2919D0"/>
    <w:rsid w:val="2FDC1FBD"/>
    <w:rsid w:val="302A0A15"/>
    <w:rsid w:val="302E4CFF"/>
    <w:rsid w:val="306A3273"/>
    <w:rsid w:val="30822968"/>
    <w:rsid w:val="308729F0"/>
    <w:rsid w:val="30AF6809"/>
    <w:rsid w:val="30D32532"/>
    <w:rsid w:val="310A376B"/>
    <w:rsid w:val="311225D8"/>
    <w:rsid w:val="313715A5"/>
    <w:rsid w:val="314F20A5"/>
    <w:rsid w:val="315134D2"/>
    <w:rsid w:val="316C6F41"/>
    <w:rsid w:val="320C0FC7"/>
    <w:rsid w:val="323E5491"/>
    <w:rsid w:val="32474183"/>
    <w:rsid w:val="33006691"/>
    <w:rsid w:val="330C46E9"/>
    <w:rsid w:val="33826D3A"/>
    <w:rsid w:val="33EA10D8"/>
    <w:rsid w:val="341B4A71"/>
    <w:rsid w:val="34505920"/>
    <w:rsid w:val="34C73423"/>
    <w:rsid w:val="3501692A"/>
    <w:rsid w:val="35266DCF"/>
    <w:rsid w:val="352C436C"/>
    <w:rsid w:val="35606C6F"/>
    <w:rsid w:val="35EA36AB"/>
    <w:rsid w:val="35ED68EC"/>
    <w:rsid w:val="360855FA"/>
    <w:rsid w:val="36146A40"/>
    <w:rsid w:val="36757617"/>
    <w:rsid w:val="368365C6"/>
    <w:rsid w:val="36AE533E"/>
    <w:rsid w:val="36BD547D"/>
    <w:rsid w:val="36E1132A"/>
    <w:rsid w:val="3705268A"/>
    <w:rsid w:val="375A6BCB"/>
    <w:rsid w:val="376C207F"/>
    <w:rsid w:val="379728EC"/>
    <w:rsid w:val="37C05B58"/>
    <w:rsid w:val="37D43EAC"/>
    <w:rsid w:val="38017E32"/>
    <w:rsid w:val="383C2B32"/>
    <w:rsid w:val="38AA00DF"/>
    <w:rsid w:val="38AF060F"/>
    <w:rsid w:val="38BD3268"/>
    <w:rsid w:val="38BF7DF0"/>
    <w:rsid w:val="38C63739"/>
    <w:rsid w:val="3924063B"/>
    <w:rsid w:val="392E1858"/>
    <w:rsid w:val="393A1C7C"/>
    <w:rsid w:val="39BB5BDB"/>
    <w:rsid w:val="39C801E1"/>
    <w:rsid w:val="39DF6C45"/>
    <w:rsid w:val="39E247F4"/>
    <w:rsid w:val="3A171404"/>
    <w:rsid w:val="3A345DB9"/>
    <w:rsid w:val="3A3D77BB"/>
    <w:rsid w:val="3A4600AB"/>
    <w:rsid w:val="3A6415F4"/>
    <w:rsid w:val="3A727A1C"/>
    <w:rsid w:val="3A7D203B"/>
    <w:rsid w:val="3AA753DA"/>
    <w:rsid w:val="3AD11E4D"/>
    <w:rsid w:val="3B305B9C"/>
    <w:rsid w:val="3B5A1C7E"/>
    <w:rsid w:val="3B636605"/>
    <w:rsid w:val="3B840B58"/>
    <w:rsid w:val="3B8F5BF2"/>
    <w:rsid w:val="3BB00475"/>
    <w:rsid w:val="3C196A5F"/>
    <w:rsid w:val="3C4D6A0E"/>
    <w:rsid w:val="3C503A96"/>
    <w:rsid w:val="3C527ABE"/>
    <w:rsid w:val="3C576499"/>
    <w:rsid w:val="3C5C0343"/>
    <w:rsid w:val="3C974288"/>
    <w:rsid w:val="3C9B3EDE"/>
    <w:rsid w:val="3CCE5E22"/>
    <w:rsid w:val="3CDA2040"/>
    <w:rsid w:val="3CEF0064"/>
    <w:rsid w:val="3D02472C"/>
    <w:rsid w:val="3D075BE0"/>
    <w:rsid w:val="3D0E7A93"/>
    <w:rsid w:val="3D1C4513"/>
    <w:rsid w:val="3D4700DF"/>
    <w:rsid w:val="3D697737"/>
    <w:rsid w:val="3DBE44C7"/>
    <w:rsid w:val="3DD14479"/>
    <w:rsid w:val="3DD14BF6"/>
    <w:rsid w:val="3DD557F0"/>
    <w:rsid w:val="3E5321E8"/>
    <w:rsid w:val="3EB340FA"/>
    <w:rsid w:val="3ECB5E0C"/>
    <w:rsid w:val="3F245B59"/>
    <w:rsid w:val="3F2D5294"/>
    <w:rsid w:val="3F3E1F47"/>
    <w:rsid w:val="3F460893"/>
    <w:rsid w:val="3F5D656D"/>
    <w:rsid w:val="3FCD080E"/>
    <w:rsid w:val="3FDE6987"/>
    <w:rsid w:val="3FE63625"/>
    <w:rsid w:val="403434BD"/>
    <w:rsid w:val="403A172F"/>
    <w:rsid w:val="40405D41"/>
    <w:rsid w:val="40434913"/>
    <w:rsid w:val="40651B39"/>
    <w:rsid w:val="4092767A"/>
    <w:rsid w:val="40B5055A"/>
    <w:rsid w:val="41014804"/>
    <w:rsid w:val="41337534"/>
    <w:rsid w:val="414B4678"/>
    <w:rsid w:val="416C2F05"/>
    <w:rsid w:val="4180167F"/>
    <w:rsid w:val="41A01F91"/>
    <w:rsid w:val="41AF7382"/>
    <w:rsid w:val="41D14218"/>
    <w:rsid w:val="42254A3F"/>
    <w:rsid w:val="4248067A"/>
    <w:rsid w:val="426A7A04"/>
    <w:rsid w:val="429370B1"/>
    <w:rsid w:val="42960939"/>
    <w:rsid w:val="42974068"/>
    <w:rsid w:val="436A3C19"/>
    <w:rsid w:val="43E16FFC"/>
    <w:rsid w:val="440B3C1E"/>
    <w:rsid w:val="4411619B"/>
    <w:rsid w:val="44384560"/>
    <w:rsid w:val="447C7A7E"/>
    <w:rsid w:val="449F11D5"/>
    <w:rsid w:val="44EB4EF7"/>
    <w:rsid w:val="44F213E4"/>
    <w:rsid w:val="45243C71"/>
    <w:rsid w:val="458008FA"/>
    <w:rsid w:val="45E31087"/>
    <w:rsid w:val="45EE1823"/>
    <w:rsid w:val="46226420"/>
    <w:rsid w:val="462C5C31"/>
    <w:rsid w:val="462D0072"/>
    <w:rsid w:val="463C78AE"/>
    <w:rsid w:val="465030C9"/>
    <w:rsid w:val="46BC06C9"/>
    <w:rsid w:val="46C7440D"/>
    <w:rsid w:val="46F81C85"/>
    <w:rsid w:val="4777686B"/>
    <w:rsid w:val="479B153D"/>
    <w:rsid w:val="47E159DC"/>
    <w:rsid w:val="47EA4F07"/>
    <w:rsid w:val="47F629D8"/>
    <w:rsid w:val="48387745"/>
    <w:rsid w:val="483B7146"/>
    <w:rsid w:val="487B6C1F"/>
    <w:rsid w:val="4886268C"/>
    <w:rsid w:val="489065BF"/>
    <w:rsid w:val="489147E6"/>
    <w:rsid w:val="489A6145"/>
    <w:rsid w:val="48AC31EE"/>
    <w:rsid w:val="48C6206B"/>
    <w:rsid w:val="48D17FFA"/>
    <w:rsid w:val="493220D9"/>
    <w:rsid w:val="493716DD"/>
    <w:rsid w:val="49581A68"/>
    <w:rsid w:val="49666AA4"/>
    <w:rsid w:val="49961A2F"/>
    <w:rsid w:val="4A2269F2"/>
    <w:rsid w:val="4A314D9B"/>
    <w:rsid w:val="4A381F37"/>
    <w:rsid w:val="4A494F2F"/>
    <w:rsid w:val="4A4B60C5"/>
    <w:rsid w:val="4AA87E54"/>
    <w:rsid w:val="4AA97877"/>
    <w:rsid w:val="4AD8431B"/>
    <w:rsid w:val="4AFA41E9"/>
    <w:rsid w:val="4B402618"/>
    <w:rsid w:val="4B7A0195"/>
    <w:rsid w:val="4B80267A"/>
    <w:rsid w:val="4BA96671"/>
    <w:rsid w:val="4BE2575D"/>
    <w:rsid w:val="4C001491"/>
    <w:rsid w:val="4C813205"/>
    <w:rsid w:val="4C84566D"/>
    <w:rsid w:val="4C8A791D"/>
    <w:rsid w:val="4C9D2E44"/>
    <w:rsid w:val="4CB21DD0"/>
    <w:rsid w:val="4CD44F23"/>
    <w:rsid w:val="4CD97A9B"/>
    <w:rsid w:val="4D0C66B2"/>
    <w:rsid w:val="4D5470F3"/>
    <w:rsid w:val="4D9E7245"/>
    <w:rsid w:val="4DAA6DBC"/>
    <w:rsid w:val="4DB057FE"/>
    <w:rsid w:val="4DB55492"/>
    <w:rsid w:val="4DEA68B8"/>
    <w:rsid w:val="4E52346E"/>
    <w:rsid w:val="4E902762"/>
    <w:rsid w:val="4EB52F8F"/>
    <w:rsid w:val="4EFE1A5A"/>
    <w:rsid w:val="4F064FE5"/>
    <w:rsid w:val="4F106BBA"/>
    <w:rsid w:val="4F411E44"/>
    <w:rsid w:val="4F84442E"/>
    <w:rsid w:val="4FA1126E"/>
    <w:rsid w:val="4FA546A7"/>
    <w:rsid w:val="4FAB0D68"/>
    <w:rsid w:val="4FC1394A"/>
    <w:rsid w:val="501B09B5"/>
    <w:rsid w:val="5021261B"/>
    <w:rsid w:val="50372E49"/>
    <w:rsid w:val="503E3782"/>
    <w:rsid w:val="50486E23"/>
    <w:rsid w:val="50801874"/>
    <w:rsid w:val="50E31B49"/>
    <w:rsid w:val="50EE4F16"/>
    <w:rsid w:val="514C3504"/>
    <w:rsid w:val="5171211C"/>
    <w:rsid w:val="517E19D4"/>
    <w:rsid w:val="51820D2C"/>
    <w:rsid w:val="51A7774A"/>
    <w:rsid w:val="51BA0D94"/>
    <w:rsid w:val="51CB1894"/>
    <w:rsid w:val="52027B2F"/>
    <w:rsid w:val="523360FC"/>
    <w:rsid w:val="52604CB5"/>
    <w:rsid w:val="526A1036"/>
    <w:rsid w:val="52A46DBE"/>
    <w:rsid w:val="52C82E09"/>
    <w:rsid w:val="52D857BA"/>
    <w:rsid w:val="52FE61EE"/>
    <w:rsid w:val="532135B0"/>
    <w:rsid w:val="532A280C"/>
    <w:rsid w:val="533E3659"/>
    <w:rsid w:val="53423599"/>
    <w:rsid w:val="536045FA"/>
    <w:rsid w:val="53740B31"/>
    <w:rsid w:val="54002547"/>
    <w:rsid w:val="540366E1"/>
    <w:rsid w:val="546E4802"/>
    <w:rsid w:val="5470154E"/>
    <w:rsid w:val="54B9388C"/>
    <w:rsid w:val="54BF41A9"/>
    <w:rsid w:val="55553ECC"/>
    <w:rsid w:val="55D32CE7"/>
    <w:rsid w:val="5638754E"/>
    <w:rsid w:val="56861AC3"/>
    <w:rsid w:val="57003EAB"/>
    <w:rsid w:val="571A5A81"/>
    <w:rsid w:val="571D5E71"/>
    <w:rsid w:val="57223D7B"/>
    <w:rsid w:val="57E004CE"/>
    <w:rsid w:val="57FC5721"/>
    <w:rsid w:val="58456D03"/>
    <w:rsid w:val="587619FD"/>
    <w:rsid w:val="587D12D8"/>
    <w:rsid w:val="58872CBB"/>
    <w:rsid w:val="588C4B14"/>
    <w:rsid w:val="58AE49D4"/>
    <w:rsid w:val="58B12440"/>
    <w:rsid w:val="58D05C01"/>
    <w:rsid w:val="58D81B6F"/>
    <w:rsid w:val="58F66D40"/>
    <w:rsid w:val="59184AE5"/>
    <w:rsid w:val="5921192B"/>
    <w:rsid w:val="592B1E69"/>
    <w:rsid w:val="593A0670"/>
    <w:rsid w:val="59733899"/>
    <w:rsid w:val="599F654E"/>
    <w:rsid w:val="59ED6EA3"/>
    <w:rsid w:val="5A046FA2"/>
    <w:rsid w:val="5A190733"/>
    <w:rsid w:val="5A3E653D"/>
    <w:rsid w:val="5A444804"/>
    <w:rsid w:val="5A7C61F1"/>
    <w:rsid w:val="5A9A65EC"/>
    <w:rsid w:val="5AAB5C12"/>
    <w:rsid w:val="5AC30BC9"/>
    <w:rsid w:val="5ADE51EA"/>
    <w:rsid w:val="5B1F16D0"/>
    <w:rsid w:val="5B496D8F"/>
    <w:rsid w:val="5B6E1E8B"/>
    <w:rsid w:val="5B821CD1"/>
    <w:rsid w:val="5B870AD4"/>
    <w:rsid w:val="5B9719DC"/>
    <w:rsid w:val="5BFE5D22"/>
    <w:rsid w:val="5C264274"/>
    <w:rsid w:val="5C332B13"/>
    <w:rsid w:val="5C5A5033"/>
    <w:rsid w:val="5C860A5F"/>
    <w:rsid w:val="5C9B5056"/>
    <w:rsid w:val="5CC041A9"/>
    <w:rsid w:val="5D0C6848"/>
    <w:rsid w:val="5D14349F"/>
    <w:rsid w:val="5D174B66"/>
    <w:rsid w:val="5D340518"/>
    <w:rsid w:val="5D380383"/>
    <w:rsid w:val="5D5058A6"/>
    <w:rsid w:val="5DE056AA"/>
    <w:rsid w:val="5E36586C"/>
    <w:rsid w:val="5E8D64F1"/>
    <w:rsid w:val="5EAF4BC6"/>
    <w:rsid w:val="5ED84FCB"/>
    <w:rsid w:val="5EF975F5"/>
    <w:rsid w:val="5F350AD9"/>
    <w:rsid w:val="5F3D7B06"/>
    <w:rsid w:val="5F4A29D6"/>
    <w:rsid w:val="5F7620F6"/>
    <w:rsid w:val="5F765FA0"/>
    <w:rsid w:val="5F9C00C5"/>
    <w:rsid w:val="5FA56F7B"/>
    <w:rsid w:val="6023103E"/>
    <w:rsid w:val="607D2E03"/>
    <w:rsid w:val="60D22560"/>
    <w:rsid w:val="60D2542B"/>
    <w:rsid w:val="60D57B20"/>
    <w:rsid w:val="60D6316E"/>
    <w:rsid w:val="60E028CE"/>
    <w:rsid w:val="611E5447"/>
    <w:rsid w:val="613612D0"/>
    <w:rsid w:val="61391120"/>
    <w:rsid w:val="613E2C6A"/>
    <w:rsid w:val="614E71A6"/>
    <w:rsid w:val="616C38A0"/>
    <w:rsid w:val="61A51006"/>
    <w:rsid w:val="61B23976"/>
    <w:rsid w:val="61CA250E"/>
    <w:rsid w:val="61CC54BB"/>
    <w:rsid w:val="61F87F72"/>
    <w:rsid w:val="62472C98"/>
    <w:rsid w:val="62A5046B"/>
    <w:rsid w:val="62EE47AC"/>
    <w:rsid w:val="63034A90"/>
    <w:rsid w:val="630A093E"/>
    <w:rsid w:val="6310108D"/>
    <w:rsid w:val="634D65E5"/>
    <w:rsid w:val="636C6FC9"/>
    <w:rsid w:val="6386585C"/>
    <w:rsid w:val="63A50834"/>
    <w:rsid w:val="63DF6B60"/>
    <w:rsid w:val="63E8702E"/>
    <w:rsid w:val="64054FE7"/>
    <w:rsid w:val="641F10E8"/>
    <w:rsid w:val="64222653"/>
    <w:rsid w:val="64A84700"/>
    <w:rsid w:val="64AC7CA7"/>
    <w:rsid w:val="64BD4087"/>
    <w:rsid w:val="64D45172"/>
    <w:rsid w:val="64F343A1"/>
    <w:rsid w:val="65185901"/>
    <w:rsid w:val="6527437C"/>
    <w:rsid w:val="654A5CCE"/>
    <w:rsid w:val="655E51A9"/>
    <w:rsid w:val="65A26F42"/>
    <w:rsid w:val="65C042E8"/>
    <w:rsid w:val="65F72064"/>
    <w:rsid w:val="65FE119B"/>
    <w:rsid w:val="667A0801"/>
    <w:rsid w:val="66A40A6F"/>
    <w:rsid w:val="673928FA"/>
    <w:rsid w:val="67612B50"/>
    <w:rsid w:val="677F6BF0"/>
    <w:rsid w:val="67A0213F"/>
    <w:rsid w:val="67B600C5"/>
    <w:rsid w:val="67CF03ED"/>
    <w:rsid w:val="67F7508C"/>
    <w:rsid w:val="680D0114"/>
    <w:rsid w:val="68364161"/>
    <w:rsid w:val="683F6717"/>
    <w:rsid w:val="684A0DE6"/>
    <w:rsid w:val="685577BB"/>
    <w:rsid w:val="68795E8A"/>
    <w:rsid w:val="687F107F"/>
    <w:rsid w:val="688E1081"/>
    <w:rsid w:val="689E2079"/>
    <w:rsid w:val="689E3771"/>
    <w:rsid w:val="68A67E3E"/>
    <w:rsid w:val="68CD536D"/>
    <w:rsid w:val="68ED20E5"/>
    <w:rsid w:val="690141EB"/>
    <w:rsid w:val="690A084B"/>
    <w:rsid w:val="690E4847"/>
    <w:rsid w:val="6941014B"/>
    <w:rsid w:val="69687A65"/>
    <w:rsid w:val="697624BC"/>
    <w:rsid w:val="69786046"/>
    <w:rsid w:val="698B5C61"/>
    <w:rsid w:val="698D2A27"/>
    <w:rsid w:val="69A32C8F"/>
    <w:rsid w:val="69C37A67"/>
    <w:rsid w:val="69CC0250"/>
    <w:rsid w:val="6A02256B"/>
    <w:rsid w:val="6A2C00AC"/>
    <w:rsid w:val="6A48460D"/>
    <w:rsid w:val="6A9C1FB2"/>
    <w:rsid w:val="6AAF1E2E"/>
    <w:rsid w:val="6ACE4B9D"/>
    <w:rsid w:val="6B0E17E4"/>
    <w:rsid w:val="6B615807"/>
    <w:rsid w:val="6B713F76"/>
    <w:rsid w:val="6B9647D3"/>
    <w:rsid w:val="6BD82711"/>
    <w:rsid w:val="6BD84F57"/>
    <w:rsid w:val="6BF1338B"/>
    <w:rsid w:val="6BFF02F1"/>
    <w:rsid w:val="6C2B77EB"/>
    <w:rsid w:val="6C6E7E3F"/>
    <w:rsid w:val="6C887236"/>
    <w:rsid w:val="6D1A107B"/>
    <w:rsid w:val="6D4164DA"/>
    <w:rsid w:val="6D7E5343"/>
    <w:rsid w:val="6DAA793A"/>
    <w:rsid w:val="6DB8367C"/>
    <w:rsid w:val="6DB94824"/>
    <w:rsid w:val="6DC54803"/>
    <w:rsid w:val="6E167F3D"/>
    <w:rsid w:val="6E262CDF"/>
    <w:rsid w:val="6E402C48"/>
    <w:rsid w:val="6E4422E3"/>
    <w:rsid w:val="6E5D42E3"/>
    <w:rsid w:val="6E9C2924"/>
    <w:rsid w:val="6EA123A9"/>
    <w:rsid w:val="6ECF26C0"/>
    <w:rsid w:val="6EE076D3"/>
    <w:rsid w:val="6EE97CAD"/>
    <w:rsid w:val="6F4A29F5"/>
    <w:rsid w:val="6F755387"/>
    <w:rsid w:val="6F9C6EE6"/>
    <w:rsid w:val="6FA61035"/>
    <w:rsid w:val="6FC371BA"/>
    <w:rsid w:val="700F62CA"/>
    <w:rsid w:val="701A56D0"/>
    <w:rsid w:val="701A59B2"/>
    <w:rsid w:val="701E1204"/>
    <w:rsid w:val="705C4832"/>
    <w:rsid w:val="705F0BE3"/>
    <w:rsid w:val="708852C2"/>
    <w:rsid w:val="70A84BAC"/>
    <w:rsid w:val="7101110A"/>
    <w:rsid w:val="7124113F"/>
    <w:rsid w:val="71536844"/>
    <w:rsid w:val="7154611A"/>
    <w:rsid w:val="71615CF7"/>
    <w:rsid w:val="718A1359"/>
    <w:rsid w:val="719968BB"/>
    <w:rsid w:val="71A512F3"/>
    <w:rsid w:val="722B05D5"/>
    <w:rsid w:val="725C5A66"/>
    <w:rsid w:val="729F2572"/>
    <w:rsid w:val="72A9604B"/>
    <w:rsid w:val="72B115A3"/>
    <w:rsid w:val="72E20351"/>
    <w:rsid w:val="72E70674"/>
    <w:rsid w:val="7302537E"/>
    <w:rsid w:val="733556CA"/>
    <w:rsid w:val="7382160C"/>
    <w:rsid w:val="738F5AE1"/>
    <w:rsid w:val="73CE2F25"/>
    <w:rsid w:val="7489119A"/>
    <w:rsid w:val="74A36184"/>
    <w:rsid w:val="74BF1FD4"/>
    <w:rsid w:val="74D407F2"/>
    <w:rsid w:val="751706B3"/>
    <w:rsid w:val="756804C8"/>
    <w:rsid w:val="756921FC"/>
    <w:rsid w:val="757D57B5"/>
    <w:rsid w:val="7594675C"/>
    <w:rsid w:val="75AF5214"/>
    <w:rsid w:val="75BF7C76"/>
    <w:rsid w:val="764B3058"/>
    <w:rsid w:val="76C72BE1"/>
    <w:rsid w:val="76D37D74"/>
    <w:rsid w:val="774A499C"/>
    <w:rsid w:val="77617496"/>
    <w:rsid w:val="7793783D"/>
    <w:rsid w:val="77B416FA"/>
    <w:rsid w:val="77D1118A"/>
    <w:rsid w:val="77E04A1B"/>
    <w:rsid w:val="78614EE9"/>
    <w:rsid w:val="786960A5"/>
    <w:rsid w:val="786C2AC3"/>
    <w:rsid w:val="78D00BF6"/>
    <w:rsid w:val="78D2120B"/>
    <w:rsid w:val="790E1CE6"/>
    <w:rsid w:val="79302294"/>
    <w:rsid w:val="79394333"/>
    <w:rsid w:val="796E5A2B"/>
    <w:rsid w:val="79B00658"/>
    <w:rsid w:val="79B328AC"/>
    <w:rsid w:val="79CE3369"/>
    <w:rsid w:val="79E37FE5"/>
    <w:rsid w:val="7A5D671B"/>
    <w:rsid w:val="7AA24469"/>
    <w:rsid w:val="7ACB08F6"/>
    <w:rsid w:val="7BE2676F"/>
    <w:rsid w:val="7BFE35C8"/>
    <w:rsid w:val="7C3B48C2"/>
    <w:rsid w:val="7C756113"/>
    <w:rsid w:val="7C902914"/>
    <w:rsid w:val="7C93056E"/>
    <w:rsid w:val="7CBB6662"/>
    <w:rsid w:val="7CE07EBA"/>
    <w:rsid w:val="7CF1296E"/>
    <w:rsid w:val="7D272BA2"/>
    <w:rsid w:val="7D5A5D9D"/>
    <w:rsid w:val="7D846A0C"/>
    <w:rsid w:val="7DAD5AF9"/>
    <w:rsid w:val="7DD255ED"/>
    <w:rsid w:val="7DE334FB"/>
    <w:rsid w:val="7E01427F"/>
    <w:rsid w:val="7E051C22"/>
    <w:rsid w:val="7E250E21"/>
    <w:rsid w:val="7E322EE1"/>
    <w:rsid w:val="7EE17D8E"/>
    <w:rsid w:val="7F0715F6"/>
    <w:rsid w:val="7F604261"/>
    <w:rsid w:val="7F6C5E56"/>
    <w:rsid w:val="7F974C84"/>
    <w:rsid w:val="7FE10E66"/>
    <w:rsid w:val="7FE14296"/>
    <w:rsid w:val="7FED232C"/>
    <w:rsid w:val="7FF930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420" w:firstLineChars="20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link w:val="25"/>
    <w:qFormat/>
    <w:uiPriority w:val="0"/>
    <w:pPr>
      <w:keepNext/>
      <w:keepLines/>
      <w:snapToGrid w:val="0"/>
      <w:spacing w:before="100" w:beforeLines="100" w:beforeAutospacing="0" w:after="100" w:afterLines="100" w:afterAutospacing="0" w:line="600" w:lineRule="exact"/>
      <w:ind w:firstLine="0" w:firstLineChars="0"/>
      <w:jc w:val="center"/>
      <w:outlineLvl w:val="0"/>
    </w:pPr>
    <w:rPr>
      <w:rFonts w:ascii="Times New Roman" w:hAnsi="Times New Roman" w:eastAsia="黑体"/>
      <w:kern w:val="44"/>
    </w:rPr>
  </w:style>
  <w:style w:type="paragraph" w:styleId="4">
    <w:name w:val="heading 2"/>
    <w:basedOn w:val="1"/>
    <w:next w:val="1"/>
    <w:unhideWhenUsed/>
    <w:qFormat/>
    <w:uiPriority w:val="0"/>
    <w:pPr>
      <w:keepNext/>
      <w:keepLines/>
      <w:spacing w:before="260" w:beforeLines="0" w:beforeAutospacing="0" w:after="260" w:afterLines="0" w:afterAutospacing="0" w:line="600" w:lineRule="exact"/>
      <w:ind w:firstLine="0" w:firstLineChars="0"/>
      <w:jc w:val="center"/>
      <w:outlineLvl w:val="1"/>
    </w:pPr>
    <w:rPr>
      <w:rFonts w:ascii="Arial" w:hAnsi="Arial" w:eastAsia="楷体_GB2312"/>
      <w:b/>
    </w:rPr>
  </w:style>
  <w:style w:type="paragraph" w:styleId="5">
    <w:name w:val="heading 3"/>
    <w:basedOn w:val="1"/>
    <w:next w:val="1"/>
    <w:link w:val="24"/>
    <w:unhideWhenUsed/>
    <w:qFormat/>
    <w:uiPriority w:val="0"/>
    <w:pPr>
      <w:keepNext/>
      <w:keepLines/>
      <w:spacing w:before="260" w:beforeLines="0" w:beforeAutospacing="0" w:after="260" w:afterLines="0" w:afterAutospacing="0" w:line="600" w:lineRule="exact"/>
      <w:outlineLvl w:val="2"/>
    </w:pPr>
    <w:rPr>
      <w:rFonts w:ascii="楷体_GB2312" w:hAnsi="楷体_GB2312" w:eastAsia="楷体_GB2312"/>
      <w:b/>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360"/>
      <w:jc w:val="center"/>
      <w:outlineLvl w:val="0"/>
    </w:pPr>
    <w:rPr>
      <w:rFonts w:ascii="Cambria" w:hAnsi="Cambria" w:eastAsia="仿宋" w:cs="Times New Roman"/>
      <w:b/>
      <w:bCs/>
      <w:sz w:val="44"/>
      <w:szCs w:val="32"/>
    </w:rPr>
  </w:style>
  <w:style w:type="paragraph" w:styleId="7">
    <w:name w:val="annotation text"/>
    <w:basedOn w:val="1"/>
    <w:qFormat/>
    <w:uiPriority w:val="0"/>
    <w:pPr>
      <w:jc w:val="left"/>
    </w:pPr>
  </w:style>
  <w:style w:type="paragraph" w:styleId="8">
    <w:name w:val="Body Text"/>
    <w:basedOn w:val="1"/>
    <w:next w:val="1"/>
    <w:qFormat/>
    <w:uiPriority w:val="99"/>
    <w:rPr>
      <w:sz w:val="24"/>
      <w:szCs w:val="24"/>
    </w:rPr>
  </w:style>
  <w:style w:type="paragraph" w:styleId="9">
    <w:name w:val="toc 3"/>
    <w:basedOn w:val="1"/>
    <w:next w:val="1"/>
    <w:qFormat/>
    <w:uiPriority w:val="39"/>
    <w:pPr>
      <w:ind w:left="641"/>
      <w:jc w:val="left"/>
    </w:pPr>
    <w:rPr>
      <w:rFonts w:cs="Calibri"/>
      <w:iCs/>
      <w:szCs w:val="20"/>
    </w:rPr>
  </w:style>
  <w:style w:type="paragraph" w:styleId="10">
    <w:name w:val="Body Text Indent 2"/>
    <w:basedOn w:val="1"/>
    <w:next w:val="11"/>
    <w:unhideWhenUsed/>
    <w:qFormat/>
    <w:uiPriority w:val="99"/>
    <w:pPr>
      <w:spacing w:after="120" w:line="560" w:lineRule="exact"/>
    </w:pPr>
  </w:style>
  <w:style w:type="paragraph" w:styleId="11">
    <w:name w:val="index 7"/>
    <w:basedOn w:val="1"/>
    <w:next w:val="1"/>
    <w:qFormat/>
    <w:uiPriority w:val="0"/>
    <w:pPr>
      <w:ind w:left="2520"/>
    </w:pPr>
  </w:style>
  <w:style w:type="paragraph" w:styleId="12">
    <w:name w:val="footer"/>
    <w:basedOn w:val="1"/>
    <w:qFormat/>
    <w:uiPriority w:val="0"/>
    <w:pPr>
      <w:tabs>
        <w:tab w:val="center" w:pos="4153"/>
        <w:tab w:val="right" w:pos="8306"/>
      </w:tabs>
      <w:snapToGrid w:val="0"/>
      <w:spacing w:line="240" w:lineRule="auto"/>
      <w:ind w:firstLine="0" w:firstLineChars="0"/>
      <w:jc w:val="left"/>
    </w:pPr>
    <w:rPr>
      <w:rFonts w:ascii="Times New Roman" w:hAnsi="Times New Roman"/>
      <w:sz w:val="21"/>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39"/>
    <w:pPr>
      <w:ind w:firstLine="0" w:firstLineChars="0"/>
      <w:jc w:val="center"/>
    </w:pPr>
    <w:rPr>
      <w:rFonts w:ascii="Times New Roman" w:hAnsi="Times New Roman" w:eastAsia="黑体" w:cs="Calibri"/>
      <w:bCs/>
      <w:caps/>
      <w:szCs w:val="20"/>
    </w:rPr>
  </w:style>
  <w:style w:type="paragraph" w:styleId="15">
    <w:name w:val="toc 2"/>
    <w:basedOn w:val="1"/>
    <w:next w:val="1"/>
    <w:qFormat/>
    <w:uiPriority w:val="39"/>
    <w:pPr>
      <w:ind w:left="0" w:firstLine="880" w:firstLineChars="200"/>
      <w:jc w:val="left"/>
    </w:pPr>
    <w:rPr>
      <w:rFonts w:ascii="Times New Roman" w:hAnsi="Times New Roman" w:eastAsia="楷体_GB2312" w:cs="Calibri"/>
      <w:smallCaps/>
      <w:szCs w:val="20"/>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8"/>
    <w:next w:val="1"/>
    <w:qFormat/>
    <w:uiPriority w:val="0"/>
    <w:pPr>
      <w:ind w:firstLine="420" w:firstLineChars="100"/>
    </w:pPr>
    <w:rPr>
      <w:rFonts w:ascii="Times New Roman" w:hAnsi="Times New Roman" w:eastAsia="仿宋_GB2312"/>
      <w:sz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Emphasis"/>
    <w:basedOn w:val="20"/>
    <w:qFormat/>
    <w:uiPriority w:val="0"/>
    <w:rPr>
      <w:i/>
    </w:rPr>
  </w:style>
  <w:style w:type="character" w:styleId="23">
    <w:name w:val="Hyperlink"/>
    <w:basedOn w:val="20"/>
    <w:qFormat/>
    <w:uiPriority w:val="0"/>
    <w:rPr>
      <w:color w:val="0000FF"/>
      <w:u w:val="single"/>
    </w:rPr>
  </w:style>
  <w:style w:type="character" w:customStyle="1" w:styleId="24">
    <w:name w:val="标题 3 Char"/>
    <w:link w:val="5"/>
    <w:qFormat/>
    <w:uiPriority w:val="0"/>
    <w:rPr>
      <w:rFonts w:ascii="楷体_GB2312" w:hAnsi="楷体_GB2312" w:eastAsia="楷体_GB2312"/>
      <w:b/>
    </w:rPr>
  </w:style>
  <w:style w:type="character" w:customStyle="1" w:styleId="25">
    <w:name w:val="标题 1 字符"/>
    <w:link w:val="3"/>
    <w:qFormat/>
    <w:uiPriority w:val="0"/>
    <w:rPr>
      <w:rFonts w:ascii="Times New Roman" w:hAnsi="Times New Roman" w:eastAsia="黑体"/>
      <w:kern w:val="44"/>
      <w:sz w:val="32"/>
    </w:rPr>
  </w:style>
  <w:style w:type="character" w:customStyle="1" w:styleId="26">
    <w:name w:val="font41"/>
    <w:basedOn w:val="20"/>
    <w:qFormat/>
    <w:uiPriority w:val="0"/>
    <w:rPr>
      <w:rFonts w:hint="eastAsia" w:ascii="宋体" w:hAnsi="宋体" w:eastAsia="宋体" w:cs="宋体"/>
      <w:b/>
      <w:color w:val="000000"/>
      <w:sz w:val="24"/>
      <w:szCs w:val="24"/>
      <w:u w:val="none"/>
    </w:rPr>
  </w:style>
  <w:style w:type="character" w:customStyle="1" w:styleId="27">
    <w:name w:val="font31"/>
    <w:basedOn w:val="20"/>
    <w:qFormat/>
    <w:uiPriority w:val="0"/>
    <w:rPr>
      <w:rFonts w:hint="default" w:ascii="Times New Roman" w:hAnsi="Times New Roman" w:cs="Times New Roman"/>
      <w:b/>
      <w:color w:val="000000"/>
      <w:sz w:val="24"/>
      <w:szCs w:val="24"/>
      <w:u w:val="none"/>
    </w:rPr>
  </w:style>
  <w:style w:type="character" w:customStyle="1" w:styleId="28">
    <w:name w:val="font21"/>
    <w:basedOn w:val="20"/>
    <w:qFormat/>
    <w:uiPriority w:val="0"/>
    <w:rPr>
      <w:rFonts w:hint="eastAsia" w:ascii="宋体" w:hAnsi="宋体" w:eastAsia="宋体" w:cs="宋体"/>
      <w:color w:val="000000"/>
      <w:sz w:val="24"/>
      <w:szCs w:val="24"/>
      <w:u w:val="none"/>
    </w:rPr>
  </w:style>
  <w:style w:type="character" w:customStyle="1" w:styleId="29">
    <w:name w:val="font51"/>
    <w:basedOn w:val="20"/>
    <w:qFormat/>
    <w:uiPriority w:val="0"/>
    <w:rPr>
      <w:rFonts w:hint="default" w:ascii="Times New Roman" w:hAnsi="Times New Roman" w:cs="Times New Roman"/>
      <w:color w:val="000000"/>
      <w:sz w:val="24"/>
      <w:szCs w:val="24"/>
      <w:u w:val="none"/>
    </w:rPr>
  </w:style>
  <w:style w:type="character" w:customStyle="1" w:styleId="30">
    <w:name w:val="font11"/>
    <w:basedOn w:val="20"/>
    <w:qFormat/>
    <w:uiPriority w:val="0"/>
    <w:rPr>
      <w:rFonts w:hint="default" w:ascii="Times New Roman" w:hAnsi="Times New Roman" w:cs="Times New Roman"/>
      <w:color w:val="000000"/>
      <w:sz w:val="22"/>
      <w:szCs w:val="22"/>
      <w:u w:val="none"/>
    </w:rPr>
  </w:style>
  <w:style w:type="character" w:customStyle="1" w:styleId="31">
    <w:name w:val="font01"/>
    <w:basedOn w:val="20"/>
    <w:qFormat/>
    <w:uiPriority w:val="0"/>
    <w:rPr>
      <w:rFonts w:hint="eastAsia" w:ascii="宋体" w:hAnsi="宋体" w:eastAsia="宋体" w:cs="宋体"/>
      <w:color w:val="000000"/>
      <w:sz w:val="22"/>
      <w:szCs w:val="22"/>
      <w:u w:val="none"/>
    </w:rPr>
  </w:style>
  <w:style w:type="paragraph" w:customStyle="1" w:styleId="32">
    <w:name w:val="默认"/>
    <w:qFormat/>
    <w:uiPriority w:val="0"/>
    <w:pPr>
      <w:keepNext w:val="0"/>
      <w:keepLines w:val="0"/>
      <w:pageBreakBefore w:val="0"/>
      <w:framePr w:wrap="around" w:vAnchor="margin" w:hAnchor="text" w:yAlign="top"/>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auto"/>
      <w:vertAlign w:val="baseline"/>
      <w:lang w:val="zh-CN" w:eastAsia="zh-CN"/>
    </w:rPr>
  </w:style>
  <w:style w:type="paragraph" w:customStyle="1" w:styleId="33">
    <w:name w:val="正文+首行缩进2字符"/>
    <w:basedOn w:val="1"/>
    <w:qFormat/>
    <w:uiPriority w:val="99"/>
    <w:pPr>
      <w:ind w:firstLine="200" w:firstLineChars="200"/>
    </w:pPr>
  </w:style>
  <w:style w:type="character" w:customStyle="1" w:styleId="34">
    <w:name w:val="font212"/>
    <w:basedOn w:val="20"/>
    <w:qFormat/>
    <w:uiPriority w:val="0"/>
    <w:rPr>
      <w:rFonts w:hint="eastAsia" w:ascii="宋体" w:hAnsi="宋体" w:eastAsia="宋体" w:cs="宋体"/>
      <w:b/>
      <w:color w:val="000000"/>
      <w:sz w:val="22"/>
      <w:szCs w:val="22"/>
      <w:u w:val="none"/>
    </w:rPr>
  </w:style>
  <w:style w:type="character" w:customStyle="1" w:styleId="35">
    <w:name w:val="font251"/>
    <w:basedOn w:val="20"/>
    <w:qFormat/>
    <w:uiPriority w:val="0"/>
    <w:rPr>
      <w:rFonts w:hint="default" w:ascii="Times New Roman" w:hAnsi="Times New Roman" w:cs="Times New Roman"/>
      <w:b/>
      <w:color w:val="000000"/>
      <w:sz w:val="22"/>
      <w:szCs w:val="22"/>
      <w:u w:val="none"/>
    </w:rPr>
  </w:style>
  <w:style w:type="character" w:customStyle="1" w:styleId="36">
    <w:name w:val="font81"/>
    <w:basedOn w:val="20"/>
    <w:qFormat/>
    <w:uiPriority w:val="0"/>
    <w:rPr>
      <w:rFonts w:hint="eastAsia" w:ascii="宋体" w:hAnsi="宋体" w:eastAsia="宋体" w:cs="宋体"/>
      <w:color w:val="000000"/>
      <w:sz w:val="22"/>
      <w:szCs w:val="22"/>
      <w:u w:val="none"/>
    </w:rPr>
  </w:style>
  <w:style w:type="character" w:customStyle="1" w:styleId="37">
    <w:name w:val="font111"/>
    <w:basedOn w:val="20"/>
    <w:qFormat/>
    <w:uiPriority w:val="0"/>
    <w:rPr>
      <w:rFonts w:hint="default" w:ascii="Times New Roman" w:hAnsi="Times New Roman" w:cs="Times New Roman"/>
      <w:color w:val="000000"/>
      <w:sz w:val="22"/>
      <w:szCs w:val="22"/>
      <w:u w:val="none"/>
    </w:rPr>
  </w:style>
  <w:style w:type="character" w:customStyle="1" w:styleId="38">
    <w:name w:val="font91"/>
    <w:basedOn w:val="20"/>
    <w:qFormat/>
    <w:uiPriority w:val="0"/>
    <w:rPr>
      <w:rFonts w:hint="eastAsia" w:ascii="宋体" w:hAnsi="宋体" w:eastAsia="宋体" w:cs="宋体"/>
      <w:color w:val="000000"/>
      <w:sz w:val="22"/>
      <w:szCs w:val="22"/>
      <w:u w:val="none"/>
    </w:rPr>
  </w:style>
  <w:style w:type="character" w:customStyle="1" w:styleId="39">
    <w:name w:val="font231"/>
    <w:basedOn w:val="20"/>
    <w:qFormat/>
    <w:uiPriority w:val="0"/>
    <w:rPr>
      <w:rFonts w:hint="default" w:ascii="Times New Roman" w:hAnsi="Times New Roman" w:cs="Times New Roman"/>
      <w:color w:val="000000"/>
      <w:sz w:val="22"/>
      <w:szCs w:val="22"/>
      <w:u w:val="none"/>
    </w:rPr>
  </w:style>
  <w:style w:type="character" w:customStyle="1" w:styleId="40">
    <w:name w:val="font191"/>
    <w:basedOn w:val="20"/>
    <w:qFormat/>
    <w:uiPriority w:val="0"/>
    <w:rPr>
      <w:rFonts w:hint="default" w:ascii="Times New Roman" w:hAnsi="Times New Roman" w:cs="Times New Roman"/>
      <w:color w:val="000000"/>
      <w:sz w:val="22"/>
      <w:szCs w:val="22"/>
      <w:u w:val="none"/>
    </w:rPr>
  </w:style>
  <w:style w:type="character" w:customStyle="1" w:styleId="41">
    <w:name w:val="font271"/>
    <w:basedOn w:val="20"/>
    <w:qFormat/>
    <w:uiPriority w:val="0"/>
    <w:rPr>
      <w:rFonts w:hint="default" w:ascii="Times New Roman" w:hAnsi="Times New Roman" w:cs="Times New Roman"/>
      <w:color w:val="000000"/>
      <w:sz w:val="22"/>
      <w:szCs w:val="22"/>
      <w:u w:val="none"/>
      <w:vertAlign w:val="superscript"/>
    </w:rPr>
  </w:style>
  <w:style w:type="character" w:customStyle="1" w:styleId="42">
    <w:name w:val="font151"/>
    <w:basedOn w:val="20"/>
    <w:qFormat/>
    <w:uiPriority w:val="0"/>
    <w:rPr>
      <w:rFonts w:hint="default" w:ascii="Times New Roman" w:hAnsi="Times New Roman" w:cs="Times New Roman"/>
      <w:color w:val="000000"/>
      <w:sz w:val="22"/>
      <w:szCs w:val="22"/>
      <w:u w:val="none"/>
      <w:vertAlign w:val="superscript"/>
    </w:rPr>
  </w:style>
  <w:style w:type="character" w:customStyle="1" w:styleId="43">
    <w:name w:val="font141"/>
    <w:basedOn w:val="20"/>
    <w:qFormat/>
    <w:uiPriority w:val="0"/>
    <w:rPr>
      <w:rFonts w:hint="eastAsia" w:ascii="宋体" w:hAnsi="宋体" w:eastAsia="宋体" w:cs="宋体"/>
      <w:color w:val="FF0000"/>
      <w:sz w:val="22"/>
      <w:szCs w:val="22"/>
      <w:u w:val="none"/>
    </w:rPr>
  </w:style>
  <w:style w:type="character" w:customStyle="1" w:styleId="44">
    <w:name w:val="font261"/>
    <w:basedOn w:val="20"/>
    <w:qFormat/>
    <w:uiPriority w:val="0"/>
    <w:rPr>
      <w:rFonts w:hint="default" w:ascii="Times New Roman" w:hAnsi="Times New Roman" w:cs="Times New Roman"/>
      <w:b/>
      <w:color w:val="000000"/>
      <w:sz w:val="22"/>
      <w:szCs w:val="22"/>
      <w:u w:val="none"/>
    </w:rPr>
  </w:style>
  <w:style w:type="character" w:customStyle="1" w:styleId="45">
    <w:name w:val="font12"/>
    <w:basedOn w:val="20"/>
    <w:qFormat/>
    <w:uiPriority w:val="0"/>
    <w:rPr>
      <w:rFonts w:hint="eastAsia" w:ascii="宋体" w:hAnsi="宋体" w:eastAsia="宋体" w:cs="宋体"/>
      <w:color w:val="000000"/>
      <w:sz w:val="22"/>
      <w:szCs w:val="22"/>
      <w:u w:val="none"/>
    </w:rPr>
  </w:style>
  <w:style w:type="character" w:customStyle="1" w:styleId="46">
    <w:name w:val="font131"/>
    <w:basedOn w:val="20"/>
    <w:qFormat/>
    <w:uiPriority w:val="0"/>
    <w:rPr>
      <w:rFonts w:hint="eastAsia" w:ascii="宋体" w:hAnsi="宋体" w:eastAsia="宋体" w:cs="宋体"/>
      <w:b/>
      <w:color w:val="000000"/>
      <w:sz w:val="22"/>
      <w:szCs w:val="22"/>
      <w:u w:val="none"/>
    </w:rPr>
  </w:style>
  <w:style w:type="character" w:customStyle="1" w:styleId="47">
    <w:name w:val="font181"/>
    <w:basedOn w:val="20"/>
    <w:qFormat/>
    <w:uiPriority w:val="0"/>
    <w:rPr>
      <w:rFonts w:hint="default" w:ascii="Times New Roman" w:hAnsi="Times New Roman" w:cs="Times New Roman"/>
      <w:b/>
      <w:color w:val="000000"/>
      <w:sz w:val="22"/>
      <w:szCs w:val="22"/>
      <w:u w:val="none"/>
    </w:rPr>
  </w:style>
  <w:style w:type="character" w:customStyle="1" w:styleId="48">
    <w:name w:val="font101"/>
    <w:basedOn w:val="20"/>
    <w:qFormat/>
    <w:uiPriority w:val="0"/>
    <w:rPr>
      <w:rFonts w:hint="default" w:ascii="Times New Roman" w:hAnsi="Times New Roman" w:cs="Times New Roman"/>
      <w:color w:val="000000"/>
      <w:sz w:val="22"/>
      <w:szCs w:val="22"/>
      <w:u w:val="none"/>
    </w:rPr>
  </w:style>
  <w:style w:type="character" w:customStyle="1" w:styleId="49">
    <w:name w:val="font122"/>
    <w:basedOn w:val="20"/>
    <w:qFormat/>
    <w:uiPriority w:val="0"/>
    <w:rPr>
      <w:rFonts w:hint="eastAsia" w:ascii="宋体" w:hAnsi="宋体" w:eastAsia="宋体" w:cs="宋体"/>
      <w:b/>
      <w:color w:val="000000"/>
      <w:sz w:val="22"/>
      <w:szCs w:val="22"/>
      <w:u w:val="none"/>
    </w:rPr>
  </w:style>
  <w:style w:type="character" w:customStyle="1" w:styleId="50">
    <w:name w:val="font171"/>
    <w:basedOn w:val="20"/>
    <w:qFormat/>
    <w:uiPriority w:val="0"/>
    <w:rPr>
      <w:rFonts w:hint="default" w:ascii="Times New Roman" w:hAnsi="Times New Roman" w:cs="Times New Roman"/>
      <w:color w:val="000000"/>
      <w:sz w:val="22"/>
      <w:szCs w:val="22"/>
      <w:u w:val="none"/>
    </w:rPr>
  </w:style>
  <w:style w:type="character" w:customStyle="1" w:styleId="51">
    <w:name w:val="font71"/>
    <w:basedOn w:val="20"/>
    <w:qFormat/>
    <w:uiPriority w:val="0"/>
    <w:rPr>
      <w:rFonts w:hint="eastAsia" w:ascii="宋体" w:hAnsi="宋体" w:eastAsia="宋体" w:cs="宋体"/>
      <w:b/>
      <w:color w:val="000000"/>
      <w:sz w:val="18"/>
      <w:szCs w:val="18"/>
      <w:u w:val="none"/>
    </w:rPr>
  </w:style>
  <w:style w:type="character" w:customStyle="1" w:styleId="52">
    <w:name w:val="font222"/>
    <w:basedOn w:val="20"/>
    <w:qFormat/>
    <w:uiPriority w:val="0"/>
    <w:rPr>
      <w:rFonts w:hint="default" w:ascii="Times New Roman" w:hAnsi="Times New Roman" w:cs="Times New Roman"/>
      <w:b/>
      <w:color w:val="000000"/>
      <w:sz w:val="18"/>
      <w:szCs w:val="18"/>
      <w:u w:val="none"/>
    </w:rPr>
  </w:style>
  <w:style w:type="character" w:customStyle="1" w:styleId="53">
    <w:name w:val="font61"/>
    <w:basedOn w:val="20"/>
    <w:qFormat/>
    <w:uiPriority w:val="0"/>
    <w:rPr>
      <w:rFonts w:hint="default" w:ascii="Times New Roman" w:hAnsi="Times New Roman" w:cs="Times New Roman"/>
      <w:color w:val="000000"/>
      <w:sz w:val="18"/>
      <w:szCs w:val="18"/>
      <w:u w:val="none"/>
    </w:rPr>
  </w:style>
  <w:style w:type="character" w:customStyle="1" w:styleId="54">
    <w:name w:val="font201"/>
    <w:basedOn w:val="20"/>
    <w:qFormat/>
    <w:uiPriority w:val="0"/>
    <w:rPr>
      <w:rFonts w:hint="eastAsia" w:ascii="宋体" w:hAnsi="宋体" w:eastAsia="宋体" w:cs="宋体"/>
      <w:color w:val="000000"/>
      <w:sz w:val="18"/>
      <w:szCs w:val="18"/>
      <w:u w:val="none"/>
    </w:rPr>
  </w:style>
  <w:style w:type="character" w:customStyle="1" w:styleId="55">
    <w:name w:val="font211"/>
    <w:basedOn w:val="20"/>
    <w:qFormat/>
    <w:uiPriority w:val="0"/>
    <w:rPr>
      <w:rFonts w:hint="default" w:ascii="Times New Roman" w:hAnsi="Times New Roman" w:cs="Times New Roman"/>
      <w:color w:val="000000"/>
      <w:sz w:val="18"/>
      <w:szCs w:val="18"/>
      <w:u w:val="none"/>
    </w:rPr>
  </w:style>
  <w:style w:type="character" w:customStyle="1" w:styleId="56">
    <w:name w:val="font322"/>
    <w:basedOn w:val="20"/>
    <w:qFormat/>
    <w:uiPriority w:val="0"/>
    <w:rPr>
      <w:rFonts w:hint="default" w:ascii="Times New Roman" w:hAnsi="Times New Roman" w:cs="Times New Roman"/>
      <w:b/>
      <w:color w:val="000000"/>
      <w:sz w:val="18"/>
      <w:szCs w:val="18"/>
      <w:u w:val="none"/>
    </w:rPr>
  </w:style>
  <w:style w:type="character" w:customStyle="1" w:styleId="57">
    <w:name w:val="font281"/>
    <w:basedOn w:val="20"/>
    <w:qFormat/>
    <w:uiPriority w:val="0"/>
    <w:rPr>
      <w:rFonts w:hint="eastAsia" w:ascii="宋体" w:hAnsi="宋体" w:eastAsia="宋体" w:cs="宋体"/>
      <w:b/>
      <w:color w:val="000000"/>
      <w:sz w:val="18"/>
      <w:szCs w:val="18"/>
      <w:u w:val="none"/>
    </w:rPr>
  </w:style>
  <w:style w:type="character" w:customStyle="1" w:styleId="58">
    <w:name w:val="font311"/>
    <w:basedOn w:val="20"/>
    <w:qFormat/>
    <w:uiPriority w:val="0"/>
    <w:rPr>
      <w:rFonts w:hint="default" w:ascii="Times New Roman" w:hAnsi="Times New Roman" w:cs="Times New Roman"/>
      <w:b/>
      <w:color w:val="000000"/>
      <w:sz w:val="18"/>
      <w:szCs w:val="18"/>
      <w:u w:val="none"/>
    </w:rPr>
  </w:style>
  <w:style w:type="character" w:customStyle="1" w:styleId="59">
    <w:name w:val="font301"/>
    <w:basedOn w:val="20"/>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203</Pages>
  <Words>102596</Words>
  <Characters>109500</Characters>
  <Lines>0</Lines>
  <Paragraphs>0</Paragraphs>
  <TotalTime>4</TotalTime>
  <ScaleCrop>false</ScaleCrop>
  <LinksUpToDate>false</LinksUpToDate>
  <CharactersWithSpaces>110715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lx</dc:creator>
  <cp:lastModifiedBy>Administrator</cp:lastModifiedBy>
  <cp:lastPrinted>2021-05-14T00:29:00Z</cp:lastPrinted>
  <dcterms:modified xsi:type="dcterms:W3CDTF">2021-05-20T08:48:07Z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EC969CA9921F4E3DBDCE4C71BD031F41</vt:lpwstr>
  </property>
</Properties>
</file>