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正宁县应急管理局政府信息公开</w:t>
      </w:r>
    </w:p>
    <w:p>
      <w:pPr>
        <w:shd w:val="clear" w:color="auto" w:fill="FFFFFF"/>
        <w:spacing w:line="60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年度工作报告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根据《中华人民共和国政府信息公开条例》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eastAsia="zh-CN"/>
        </w:rPr>
        <w:t>有关要求，现将我局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val="en-US" w:eastAsia="zh-CN"/>
        </w:rPr>
        <w:t>2020年度政府信息公开情况报告如下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：</w:t>
      </w:r>
    </w:p>
    <w:p>
      <w:pPr>
        <w:numPr>
          <w:ilvl w:val="0"/>
          <w:numId w:val="1"/>
        </w:numPr>
        <w:shd w:val="clear" w:color="auto" w:fill="FFFFFF"/>
        <w:spacing w:line="600" w:lineRule="exac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shd w:val="clear" w:color="auto" w:fill="FFFFFF"/>
        <w:spacing w:line="600" w:lineRule="exact"/>
        <w:ind w:firstLine="640" w:firstLineChars="200"/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年，在县委、县政府的正确领导下，我局严格按照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文件要求，进一步深化政务公开，加强政务服务，着力打造服务型部门，努力构建行为规范、运转协调、公正透明、廉洁高效的工作机制，推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动应急管理工作高质量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（一）加强领导、完善机制。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充实和调整政务公开工作领导小组，成立了局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eastAsia="仿宋_GB2312"/>
          <w:sz w:val="32"/>
          <w:lang w:eastAsia="zh-CN"/>
        </w:rPr>
        <w:t>副局长</w:t>
      </w:r>
      <w:r>
        <w:rPr>
          <w:rFonts w:hint="eastAsia" w:eastAsia="仿宋_GB2312"/>
          <w:sz w:val="32"/>
        </w:rPr>
        <w:t>为副组长，其他班子成员和相关股室负责人为成员的“正宁县</w:t>
      </w:r>
      <w:r>
        <w:rPr>
          <w:rFonts w:hint="eastAsia" w:eastAsia="仿宋_GB2312"/>
          <w:sz w:val="32"/>
          <w:lang w:eastAsia="zh-CN"/>
        </w:rPr>
        <w:t>应急局</w:t>
      </w:r>
      <w:r>
        <w:rPr>
          <w:rFonts w:hint="eastAsia" w:eastAsia="仿宋_GB2312"/>
          <w:sz w:val="32"/>
        </w:rPr>
        <w:t>政务公开工作领导小组”，全面负责政务公开工作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。并明确1名工作人员负责局政务公开日常工作，落实政务公开的各项要求，做好牵头协调和监督检查。做到了领导、机构、人员“三到位”，同时，我局把政务公开工作分解到单位内部各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大队，形成“主要领导亲自抓、分管领导直接抓、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室专人抓落实”的工作机制。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（二）明确责任、强化考核。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，把全年政务公开工作任务分解到各相关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大队，明晰工作职责和任务完成时限，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人秘股负责监督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分解任务落实。同时，强化对政务公开的考核，把政务公开工作和机关效能建设、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工作同安排、同部署、同考核，推进“为民、务实、清廉”的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队伍建设。</w:t>
      </w:r>
    </w:p>
    <w:p>
      <w:pPr>
        <w:widowControl w:val="0"/>
        <w:numPr>
          <w:ilvl w:val="0"/>
          <w:numId w:val="0"/>
        </w:numPr>
        <w:shd w:val="clear" w:color="auto" w:fill="FFFFFF"/>
        <w:spacing w:line="600" w:lineRule="exact"/>
        <w:ind w:leftChars="0"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（三）公开事项、集中办理。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我局严格按照分工方案要求，围绕稳增长、促改革、调结构、惠民生和防风险工作，坚持创新发展理念，全面推进决策、执行、管理、服务、结果公开的“五公开”工作，加强了协作配合，形成了工作合力，20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年在开展信息公开工作中，我局切实履行了信息公开前的保密审查工作职责，严格按“一事一审”“谁公开、谁审核”“谁公开、谁负责”的要求开展工作，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通过政府网站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危险化学品重大危险源备案、生产安全事故应急预案备案、典型地震遗址遗迹认定、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对地震观测环境保护范围内的建设工程项目核发选址意见书、建设用地规划许可证或乡村建设规划许可证时征求意见的确认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地震监测设施和地震观测环境保护范围内新建、扩建、改建建设工程审批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自然灾害救助资金给付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公众聚集场所投入使用、营业前消防安全检查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烟花爆竹经营（零售）许可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生产、储存烟花爆竹建设项目安全设施设计审查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危险化学品经营许可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其他非煤矿山建设项目安全设施设计审查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非煤矿山建设项目安全设施设计审查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11项政务服务事项办理流程、所需资料、办理时限等信息，方便了群众办事。二是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通过正宁应急微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信公众号及时发布安全生产、防灾减灾、护林防火相关法律法规和工作动态，全年发布各类信息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，营造了良好社会氛围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val="en-US" w:eastAsia="zh-CN"/>
        </w:rPr>
        <w:t>按照财务管理规定，对单位编制的财务预算报告、年度决算报告年初在政府网站进行了公开，接受广大人民群众监督。四是在单位醒目位置制作了了政务信息公示牌，对单位重大事项重要决策定期进行了公开。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2"/>
        <w:tblpPr w:leftFromText="180" w:rightFromText="180" w:vertAnchor="text" w:horzAnchor="page" w:tblpX="2143" w:tblpY="286"/>
        <w:tblOverlap w:val="never"/>
        <w:tblW w:w="84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1296"/>
        <w:gridCol w:w="90"/>
        <w:gridCol w:w="754"/>
        <w:gridCol w:w="90"/>
        <w:gridCol w:w="3167"/>
        <w:gridCol w:w="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30" w:hRule="atLeast"/>
        </w:trPr>
        <w:tc>
          <w:tcPr>
            <w:tcW w:w="8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280" w:firstLineChars="10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59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 制作数量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 公开数量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5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规章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1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规范性文件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20" w:hRule="atLeast"/>
        </w:trPr>
        <w:tc>
          <w:tcPr>
            <w:tcW w:w="81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上一年项目数量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本年增/减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5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行政许可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62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-3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6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其他对外管理服务事项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270" w:hRule="atLeast"/>
        </w:trPr>
        <w:tc>
          <w:tcPr>
            <w:tcW w:w="81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上一年项目数量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本年增/减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29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行政处罚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default" w:ascii="微软雅黑" w:hAnsi="微软雅黑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27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行政强制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20" w:hRule="atLeast"/>
        </w:trPr>
        <w:tc>
          <w:tcPr>
            <w:tcW w:w="81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18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上一年项目数量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7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行政事业性收费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20" w:hRule="atLeast"/>
        </w:trPr>
        <w:tc>
          <w:tcPr>
            <w:tcW w:w="81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9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信息内容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采购项目数量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" w:type="dxa"/>
          <w:trHeight w:val="360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政府集中采购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firstLine="800" w:firstLineChars="25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1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14"/>
        <w:gridCol w:w="2099"/>
        <w:gridCol w:w="601"/>
        <w:gridCol w:w="525"/>
        <w:gridCol w:w="525"/>
        <w:gridCol w:w="675"/>
        <w:gridCol w:w="721"/>
        <w:gridCol w:w="254"/>
        <w:gridCol w:w="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40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自然人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法人或其他组织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0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left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商业企业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科研机构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社会公益组织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法律服务机构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三、本年度办理结果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（一）予以公开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（三）不予公开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1.属于国家秘密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2.其他法律行政法规禁止公开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3.危及“三安全一稳定”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4.保护第三方合法权益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5.属于三类内部事务信息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6.属于四类过程性信息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7.属于行政执法案卷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（四）无法提供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1.本机关不掌握相关政府信息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2.没有现成信息需要另行制作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3.补正后申请内容仍不明确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（五）不予处理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1.信访举报投诉类申请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2.重复申请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3.要求提供公开出版物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4.无正当理由大量反复申请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（六）其他处理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5"/>
                <w:szCs w:val="15"/>
              </w:rPr>
              <w:t>（七）总计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四、结转下年度继续办理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firstLine="800" w:firstLineChars="25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1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36"/>
        <w:gridCol w:w="536"/>
        <w:gridCol w:w="536"/>
        <w:gridCol w:w="409"/>
        <w:gridCol w:w="647"/>
        <w:gridCol w:w="582"/>
        <w:gridCol w:w="536"/>
        <w:gridCol w:w="536"/>
        <w:gridCol w:w="552"/>
        <w:gridCol w:w="536"/>
        <w:gridCol w:w="536"/>
        <w:gridCol w:w="536"/>
        <w:gridCol w:w="536"/>
        <w:gridCol w:w="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55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8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2020年度，我局进一步完善工作制度和措施，主动公开有序进行，依申请公开依法办理。但与新形势新要求相比，仍存在一些不足。一是主动公开时效性还需要加强。要进一步发挥好网站主动公开主阵地作用的同时，加强政务新媒体公开信息力度，及时、准确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、规范地开展信息公开发布工作。二是政府信息公开队伍专业化水平不高，对政策把握能力不强。通过多种群众喜爱、通俗易懂地形式加大对重要政策、民生热点的发布解读力度，积极回应群众关切。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　六、其他需要报告的事项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/>
        <w:jc w:val="both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70AAA"/>
    <w:multiLevelType w:val="singleLevel"/>
    <w:tmpl w:val="E4270AA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730F"/>
    <w:rsid w:val="4C95730F"/>
    <w:rsid w:val="566A0230"/>
    <w:rsid w:val="68BB0F3C"/>
    <w:rsid w:val="7291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2021-04-28T07:19:00Z</dcterms:created>
  <dc:creator>守望家园</dc:creator>
  <cp:lastModifiedBy>守望家园</cp:lastModifiedBy>
  <dcterms:modified xsi:type="dcterms:W3CDTF">2021-05-14T07:25:11Z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71392064D18643E8A33131AF12C4B01B</vt:lpwstr>
  </property>
</Properties>
</file>