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kinsoku/>
        <w:wordWrap/>
        <w:overflowPunct/>
        <w:topLinePunct w:val="0"/>
        <w:autoSpaceDE/>
        <w:autoSpaceDN/>
        <w:bidi w:val="0"/>
        <w:spacing w:line="6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p>
    <w:p>
      <w:pPr>
        <w:keepNext/>
        <w:keepLines w:val="0"/>
        <w:pageBreakBefore w:val="0"/>
        <w:kinsoku/>
        <w:wordWrap/>
        <w:overflowPunct/>
        <w:topLinePunct w:val="0"/>
        <w:autoSpaceDE/>
        <w:autoSpaceDN/>
        <w:bidi w:val="0"/>
        <w:spacing w:line="6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正宁县乡村建设示范县</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color w:val="000000"/>
          <w:sz w:val="32"/>
          <w:szCs w:val="3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color w:val="000000"/>
          <w:sz w:val="32"/>
          <w:szCs w:val="30"/>
          <w:lang w:val="en-US" w:eastAsia="zh-CN"/>
        </w:rPr>
      </w:pPr>
      <w:r>
        <w:rPr>
          <w:rFonts w:hint="eastAsia" w:ascii="仿宋_GB2312" w:hAnsi="仿宋_GB2312" w:eastAsia="仿宋_GB2312" w:cs="仿宋_GB2312"/>
          <w:color w:val="000000"/>
          <w:sz w:val="32"/>
          <w:szCs w:val="30"/>
          <w:lang w:val="en-US" w:eastAsia="zh-CN"/>
        </w:rPr>
        <w:t>乡村建设行动是党的十九届五中全会作出的重大部署，是实施乡村振兴战略的重要内容，是推进农业农村现代化的重要抓手。为推动全县乡村建设行动开好局、起好步，根据《中共甘肃省委农村工作领导小组甘肃省实施乡村振兴战略领导小组印发〈关于开展乡村建设示范行动的指导意见〉的通知》（甘农领发〔2021〕4号）、《甘肃省人民政府关于分解落实2021年省政府工作报告主要指标和重点任务的通知》（甘政发〔2021〕9号）、《中共庆阳市委农村工作领导小组庆阳市实施乡村振兴战略领导小组〈关于开展乡村建设示范行动的指导意见的通知〉》（庆农领发〔2021〕6号）精神，立足正宁县情实际，现制定如下方案。</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一、全县基本现状</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宁县是甘肃省58个集中连片特困县之一,2011年列入国家六盘山片区扶贫攻坚重点县。全县辖8镇2乡94个行政村677个村民小组,总面积1319平方公里,耕地43万亩;总人口24.27万人,其中农业人口21.42万人。2013年以来，全县建档立卡贫困人口9678户38694人，2014年贫困发生率13.95%。通过全县上下的不懈努力，</w:t>
      </w:r>
      <w:r>
        <w:rPr>
          <w:rFonts w:hint="eastAsia" w:ascii="仿宋_GB2312" w:hAnsi="仿宋_GB2312" w:eastAsia="仿宋_GB2312" w:cs="仿宋_GB2312"/>
          <w:sz w:val="32"/>
          <w:szCs w:val="32"/>
          <w:lang w:eastAsia="zh-CN"/>
        </w:rPr>
        <w:t>目前全县</w:t>
      </w:r>
      <w:r>
        <w:rPr>
          <w:rFonts w:hint="eastAsia" w:ascii="仿宋_GB2312" w:hAnsi="仿宋_GB2312" w:eastAsia="仿宋_GB2312" w:cs="仿宋_GB2312"/>
          <w:sz w:val="32"/>
          <w:szCs w:val="32"/>
        </w:rPr>
        <w:t>19个贫困村全部</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退出</w:t>
      </w:r>
      <w:r>
        <w:rPr>
          <w:rFonts w:hint="eastAsia" w:ascii="仿宋_GB2312" w:hAnsi="仿宋_GB2312" w:eastAsia="仿宋_GB2312" w:cs="仿宋_GB2312"/>
          <w:sz w:val="32"/>
          <w:szCs w:val="32"/>
          <w:lang w:eastAsia="zh-CN"/>
        </w:rPr>
        <w:t>，所有贫困人口均已脱贫</w:t>
      </w:r>
      <w:r>
        <w:rPr>
          <w:rFonts w:hint="eastAsia" w:ascii="仿宋_GB2312" w:hAnsi="仿宋_GB2312" w:eastAsia="仿宋_GB2312" w:cs="仿宋_GB2312"/>
          <w:sz w:val="32"/>
          <w:szCs w:val="32"/>
        </w:rPr>
        <w:t>。</w:t>
      </w:r>
    </w:p>
    <w:p>
      <w:pPr>
        <w:keepNext/>
        <w:keepLines w:val="0"/>
        <w:pageBreakBefore w:val="0"/>
        <w:kinsoku/>
        <w:wordWrap/>
        <w:overflowPunct/>
        <w:topLinePunct w:val="0"/>
        <w:autoSpaceDE/>
        <w:autoSpaceDN/>
        <w:bidi w:val="0"/>
        <w:spacing w:line="60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二、总体思路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z w:val="32"/>
          <w:szCs w:val="30"/>
          <w:lang w:val="en-US" w:eastAsia="zh-CN"/>
        </w:rPr>
      </w:pPr>
      <w:r>
        <w:rPr>
          <w:rFonts w:hint="eastAsia" w:ascii="仿宋_GB2312" w:hAnsi="仿宋_GB2312" w:eastAsia="仿宋_GB2312" w:cs="仿宋_GB2312"/>
          <w:color w:val="000000"/>
          <w:sz w:val="32"/>
          <w:szCs w:val="30"/>
          <w:lang w:val="en-US" w:eastAsia="zh-CN"/>
        </w:rPr>
        <w:t>深入贯彻习近平新时代中国特色社会主义思想，按照“20字”总要求</w:t>
      </w:r>
      <w:r>
        <w:rPr>
          <w:rFonts w:hint="eastAsia" w:ascii="仿宋_GB2312" w:hAnsi="仿宋_GB2312" w:eastAsia="仿宋_GB2312" w:cs="仿宋_GB2312"/>
          <w:b w:val="0"/>
          <w:bCs w:val="0"/>
          <w:sz w:val="28"/>
          <w:szCs w:val="28"/>
          <w:lang w:val="en-US" w:eastAsia="zh-CN"/>
        </w:rPr>
        <w:t>（产业兴旺、生态宜居、乡风文明、治理有效、生活富裕）</w:t>
      </w:r>
      <w:r>
        <w:rPr>
          <w:rFonts w:hint="eastAsia" w:ascii="仿宋_GB2312" w:hAnsi="仿宋_GB2312" w:eastAsia="仿宋_GB2312" w:cs="仿宋_GB2312"/>
          <w:color w:val="000000"/>
          <w:sz w:val="32"/>
          <w:szCs w:val="30"/>
          <w:lang w:val="en-US" w:eastAsia="zh-CN"/>
        </w:rPr>
        <w:t>，</w:t>
      </w:r>
      <w:r>
        <w:rPr>
          <w:rFonts w:hint="eastAsia" w:ascii="仿宋_GB2312" w:hAnsi="仿宋_GB2312" w:eastAsia="仿宋_GB2312" w:cs="仿宋_GB2312"/>
          <w:color w:val="000000"/>
          <w:kern w:val="2"/>
          <w:sz w:val="32"/>
          <w:szCs w:val="32"/>
          <w:lang w:val="en-US" w:eastAsia="zh-CN" w:bidi="ar-SA"/>
        </w:rPr>
        <w:t>以</w:t>
      </w:r>
      <w:r>
        <w:rPr>
          <w:rFonts w:hint="eastAsia" w:ascii="楷体_GB2312" w:hAnsi="楷体_GB2312" w:eastAsia="楷体_GB2312" w:cs="楷体_GB2312"/>
          <w:b/>
          <w:bCs/>
          <w:sz w:val="32"/>
          <w:szCs w:val="32"/>
          <w:lang w:val="en-US" w:eastAsia="zh-CN"/>
        </w:rPr>
        <w:t>“两线一川”</w:t>
      </w:r>
      <w:r>
        <w:rPr>
          <w:rFonts w:hint="eastAsia" w:ascii="仿宋_GB2312" w:hAnsi="仿宋_GB2312" w:eastAsia="仿宋_GB2312" w:cs="仿宋_GB2312"/>
          <w:b w:val="0"/>
          <w:bCs w:val="0"/>
          <w:sz w:val="28"/>
          <w:szCs w:val="28"/>
          <w:lang w:val="en-US" w:eastAsia="zh-CN"/>
        </w:rPr>
        <w:t>（正周路、南罗路、四郎河川区）</w:t>
      </w:r>
      <w:r>
        <w:rPr>
          <w:rFonts w:hint="eastAsia" w:ascii="仿宋_GB2312" w:hAnsi="仿宋_GB2312" w:eastAsia="仿宋_GB2312" w:cs="仿宋_GB2312"/>
          <w:color w:val="000000"/>
          <w:kern w:val="2"/>
          <w:sz w:val="32"/>
          <w:szCs w:val="32"/>
          <w:lang w:val="en-US" w:eastAsia="zh-CN" w:bidi="ar-SA"/>
        </w:rPr>
        <w:t>沿线村为重点，以产业振兴和改善人居环境为抓手，按照“点线面结合、示范引领、梯次推进、整体提升”思路，</w:t>
      </w:r>
      <w:r>
        <w:rPr>
          <w:rFonts w:hint="eastAsia" w:ascii="仿宋_GB2312" w:hAnsi="仿宋_GB2312" w:eastAsia="仿宋_GB2312" w:cs="仿宋_GB2312"/>
          <w:color w:val="000000"/>
          <w:sz w:val="32"/>
          <w:szCs w:val="30"/>
          <w:lang w:val="en-US" w:eastAsia="zh-CN"/>
        </w:rPr>
        <w:t>聚焦</w:t>
      </w:r>
      <w:r>
        <w:rPr>
          <w:rFonts w:hint="eastAsia" w:ascii="楷体_GB2312" w:hAnsi="楷体_GB2312" w:eastAsia="楷体_GB2312" w:cs="楷体_GB2312"/>
          <w:b/>
          <w:bCs/>
          <w:sz w:val="32"/>
          <w:szCs w:val="32"/>
          <w:lang w:val="en-US" w:eastAsia="zh-CN"/>
        </w:rPr>
        <w:t>“五个振兴”</w:t>
      </w:r>
      <w:r>
        <w:rPr>
          <w:rFonts w:hint="eastAsia" w:ascii="仿宋_GB2312" w:hAnsi="仿宋_GB2312" w:eastAsia="仿宋_GB2312" w:cs="仿宋_GB2312"/>
          <w:b w:val="0"/>
          <w:bCs w:val="0"/>
          <w:sz w:val="28"/>
          <w:szCs w:val="28"/>
          <w:lang w:val="en-US" w:eastAsia="zh-CN"/>
        </w:rPr>
        <w:t>（产业振兴、人才振兴、文化振兴、生态振兴、组织振兴）</w:t>
      </w:r>
      <w:r>
        <w:rPr>
          <w:rFonts w:hint="eastAsia" w:ascii="仿宋_GB2312" w:hAnsi="仿宋_GB2312" w:eastAsia="仿宋_GB2312" w:cs="仿宋_GB2312"/>
          <w:color w:val="000000"/>
          <w:sz w:val="32"/>
          <w:szCs w:val="30"/>
          <w:lang w:val="en-US" w:eastAsia="zh-CN"/>
        </w:rPr>
        <w:t>，坚持</w:t>
      </w:r>
      <w:r>
        <w:rPr>
          <w:rFonts w:hint="eastAsia" w:ascii="楷体_GB2312" w:hAnsi="楷体_GB2312" w:eastAsia="楷体_GB2312" w:cs="楷体_GB2312"/>
          <w:b/>
          <w:bCs/>
          <w:sz w:val="32"/>
          <w:szCs w:val="32"/>
          <w:lang w:val="en-US" w:eastAsia="zh-CN"/>
        </w:rPr>
        <w:t>“一轴牵引”</w:t>
      </w:r>
      <w:r>
        <w:rPr>
          <w:rFonts w:hint="eastAsia" w:ascii="仿宋_GB2312" w:hAnsi="仿宋_GB2312" w:eastAsia="仿宋_GB2312" w:cs="仿宋_GB2312"/>
          <w:b w:val="0"/>
          <w:bCs w:val="0"/>
          <w:sz w:val="28"/>
          <w:szCs w:val="28"/>
          <w:lang w:val="en-US" w:eastAsia="zh-CN"/>
        </w:rPr>
        <w:t>（四郎河川乡村振兴示范廊道）</w:t>
      </w:r>
      <w:r>
        <w:rPr>
          <w:rFonts w:hint="eastAsia" w:ascii="仿宋_GB2312" w:hAnsi="仿宋_GB2312" w:eastAsia="仿宋_GB2312" w:cs="仿宋_GB2312"/>
          <w:color w:val="000000"/>
          <w:sz w:val="32"/>
          <w:szCs w:val="30"/>
          <w:lang w:val="en-US" w:eastAsia="zh-CN"/>
        </w:rPr>
        <w:t>、</w:t>
      </w:r>
      <w:r>
        <w:rPr>
          <w:rFonts w:hint="eastAsia" w:ascii="楷体_GB2312" w:hAnsi="楷体_GB2312" w:eastAsia="楷体_GB2312" w:cs="楷体_GB2312"/>
          <w:b/>
          <w:bCs/>
          <w:sz w:val="32"/>
          <w:szCs w:val="32"/>
          <w:lang w:val="en-US" w:eastAsia="zh-CN"/>
        </w:rPr>
        <w:t>“两翼齐飞”</w:t>
      </w:r>
      <w:r>
        <w:rPr>
          <w:rFonts w:hint="eastAsia" w:ascii="仿宋_GB2312" w:hAnsi="仿宋_GB2312" w:eastAsia="仿宋_GB2312" w:cs="仿宋_GB2312"/>
          <w:b w:val="0"/>
          <w:bCs w:val="0"/>
          <w:sz w:val="28"/>
          <w:szCs w:val="28"/>
          <w:lang w:val="en-US" w:eastAsia="zh-CN"/>
        </w:rPr>
        <w:t>（建设正周路、南罗路乡村振兴示范带）</w:t>
      </w:r>
      <w:r>
        <w:rPr>
          <w:rFonts w:hint="eastAsia" w:ascii="仿宋_GB2312" w:hAnsi="仿宋_GB2312" w:eastAsia="仿宋_GB2312" w:cs="仿宋_GB2312"/>
          <w:color w:val="000000"/>
          <w:sz w:val="32"/>
          <w:szCs w:val="30"/>
          <w:lang w:val="en-US" w:eastAsia="zh-CN"/>
        </w:rPr>
        <w:t>、</w:t>
      </w:r>
      <w:r>
        <w:rPr>
          <w:rFonts w:hint="eastAsia" w:ascii="楷体_GB2312" w:hAnsi="楷体_GB2312" w:eastAsia="楷体_GB2312" w:cs="楷体_GB2312"/>
          <w:b/>
          <w:bCs/>
          <w:sz w:val="32"/>
          <w:szCs w:val="32"/>
          <w:lang w:val="en-US" w:eastAsia="zh-CN"/>
        </w:rPr>
        <w:t>“五化同步”</w:t>
      </w:r>
      <w:r>
        <w:rPr>
          <w:rFonts w:hint="eastAsia" w:ascii="仿宋_GB2312" w:hAnsi="仿宋_GB2312" w:eastAsia="仿宋_GB2312" w:cs="仿宋_GB2312"/>
          <w:b w:val="0"/>
          <w:bCs w:val="0"/>
          <w:sz w:val="28"/>
          <w:szCs w:val="28"/>
          <w:lang w:val="en-US" w:eastAsia="zh-CN"/>
        </w:rPr>
        <w:t>（农业产业现代化、基础建设城乡一体化、公共服务均等化、新型农民职业化、党支部建设标准化）</w:t>
      </w:r>
      <w:r>
        <w:rPr>
          <w:rFonts w:hint="eastAsia" w:ascii="仿宋_GB2312" w:hAnsi="仿宋_GB2312" w:eastAsia="仿宋_GB2312" w:cs="仿宋_GB2312"/>
          <w:color w:val="000000"/>
          <w:sz w:val="32"/>
          <w:szCs w:val="30"/>
          <w:lang w:val="en-US" w:eastAsia="zh-CN"/>
        </w:rPr>
        <w:t>，以点串线、以线带面，力争通过3年努力，把60%以上的行政村建成乡村建设示范村，实现</w:t>
      </w:r>
      <w:r>
        <w:rPr>
          <w:rFonts w:hint="eastAsia" w:ascii="楷体_GB2312" w:hAnsi="楷体_GB2312" w:eastAsia="楷体_GB2312" w:cs="楷体_GB2312"/>
          <w:b/>
          <w:bCs/>
          <w:sz w:val="32"/>
          <w:szCs w:val="32"/>
          <w:lang w:val="en-US" w:eastAsia="zh-CN"/>
        </w:rPr>
        <w:t>“三个提高”</w:t>
      </w:r>
      <w:r>
        <w:rPr>
          <w:rFonts w:hint="eastAsia" w:ascii="仿宋_GB2312" w:hAnsi="仿宋_GB2312" w:eastAsia="仿宋_GB2312" w:cs="仿宋_GB2312"/>
          <w:b w:val="0"/>
          <w:bCs w:val="0"/>
          <w:sz w:val="28"/>
          <w:szCs w:val="28"/>
          <w:lang w:val="en-US" w:eastAsia="zh-CN"/>
        </w:rPr>
        <w:t>（农民人均可支配收入大幅提高，农村文明程度全面提高，农村居民生活水平显著提高），</w:t>
      </w:r>
      <w:r>
        <w:rPr>
          <w:rFonts w:hint="eastAsia" w:ascii="仿宋_GB2312" w:hAnsi="仿宋_GB2312" w:eastAsia="仿宋_GB2312" w:cs="仿宋_GB2312"/>
          <w:color w:val="000000"/>
          <w:sz w:val="32"/>
          <w:szCs w:val="30"/>
          <w:lang w:val="en-US" w:eastAsia="zh-CN"/>
        </w:rPr>
        <w:t>打造乡村振兴先行区。</w:t>
      </w:r>
    </w:p>
    <w:p>
      <w:pPr>
        <w:keepNext/>
        <w:keepLines w:val="0"/>
        <w:pageBreakBefore w:val="0"/>
        <w:kinsoku/>
        <w:wordWrap/>
        <w:overflowPunct/>
        <w:topLinePunct w:val="0"/>
        <w:autoSpaceDE/>
        <w:autoSpaceDN/>
        <w:bidi w:val="0"/>
        <w:spacing w:line="60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三、基本原则</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sz w:val="32"/>
          <w:szCs w:val="30"/>
          <w:lang w:val="en-US" w:eastAsia="zh-CN"/>
        </w:rPr>
      </w:pPr>
      <w:r>
        <w:rPr>
          <w:rFonts w:hint="eastAsia" w:ascii="楷体_GB2312" w:hAnsi="楷体_GB2312" w:eastAsia="楷体_GB2312" w:cs="楷体_GB2312"/>
          <w:b/>
          <w:bCs/>
          <w:color w:val="000000"/>
          <w:sz w:val="32"/>
          <w:szCs w:val="30"/>
          <w:lang w:val="en-US" w:eastAsia="zh-CN"/>
        </w:rPr>
        <w:t>（一）坚持政府引导，农民主体。</w:t>
      </w:r>
      <w:r>
        <w:rPr>
          <w:rFonts w:hint="eastAsia" w:ascii="仿宋_GB2312" w:hAnsi="仿宋_GB2312" w:eastAsia="仿宋_GB2312" w:cs="仿宋_GB2312"/>
          <w:color w:val="000000"/>
          <w:sz w:val="32"/>
          <w:szCs w:val="30"/>
          <w:lang w:val="en-US" w:eastAsia="zh-CN"/>
        </w:rPr>
        <w:t>把政府引导与农民主体有机结合起来，充分尊重农民意愿，切实维护农民切身利益，坚持农民有需求、政府就推动，农民愿意干、政府再支持，最大限度地调动农民积极性、主动性和创造性，防止政府大包大揽、农民被动参与，形成党委领导、政府引导、群众共建共享的局面，让广大农民群众有更多获得感。</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sz w:val="32"/>
          <w:szCs w:val="30"/>
          <w:lang w:val="en-US" w:eastAsia="zh-CN"/>
        </w:rPr>
      </w:pPr>
      <w:r>
        <w:rPr>
          <w:rFonts w:hint="eastAsia" w:ascii="楷体_GB2312" w:hAnsi="楷体_GB2312" w:eastAsia="楷体_GB2312" w:cs="楷体_GB2312"/>
          <w:b/>
          <w:bCs/>
          <w:color w:val="000000"/>
          <w:sz w:val="32"/>
          <w:szCs w:val="30"/>
          <w:lang w:val="en-US" w:eastAsia="zh-CN"/>
        </w:rPr>
        <w:t>（二）坚持科学规划，彰显特色。</w:t>
      </w:r>
      <w:r>
        <w:rPr>
          <w:rFonts w:hint="eastAsia" w:ascii="仿宋_GB2312" w:hAnsi="仿宋_GB2312" w:eastAsia="仿宋_GB2312" w:cs="仿宋_GB2312"/>
          <w:color w:val="000000"/>
          <w:sz w:val="32"/>
          <w:szCs w:val="30"/>
          <w:lang w:val="en-US" w:eastAsia="zh-CN"/>
        </w:rPr>
        <w:t>根据新型城镇化和农业现代化发展趋势，结合乡村建设特点，科学编制示范乡村建设规划，切实做到先规划后建设、不规划不建设。规划建设要充分尊重群众意愿，体现乡村特色，遵循乡村发展规律，注重保护生态环境、展现田园风貌和弘扬传统文化。</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sz w:val="32"/>
          <w:szCs w:val="30"/>
          <w:lang w:val="en-US" w:eastAsia="zh-CN"/>
        </w:rPr>
      </w:pPr>
      <w:r>
        <w:rPr>
          <w:rFonts w:hint="eastAsia" w:ascii="楷体_GB2312" w:hAnsi="楷体_GB2312" w:eastAsia="楷体_GB2312" w:cs="楷体_GB2312"/>
          <w:b/>
          <w:bCs/>
          <w:color w:val="000000"/>
          <w:sz w:val="32"/>
          <w:szCs w:val="30"/>
          <w:lang w:val="en-US" w:eastAsia="zh-CN"/>
        </w:rPr>
        <w:t>（三）坚持因地制宜，分类指导。</w:t>
      </w:r>
      <w:r>
        <w:rPr>
          <w:rFonts w:hint="eastAsia" w:ascii="仿宋_GB2312" w:hAnsi="仿宋_GB2312" w:eastAsia="仿宋_GB2312" w:cs="仿宋_GB2312"/>
          <w:color w:val="000000"/>
          <w:sz w:val="32"/>
          <w:szCs w:val="30"/>
          <w:lang w:val="en-US" w:eastAsia="zh-CN"/>
        </w:rPr>
        <w:t>针对各地发展基础、人口规模、资源禀赋、民俗文化等方面的差异，加强分类指导，鼓励探索创新，因地制宜，因村施策，防止生搬硬套和“一刀切”。分层推进建设，立足现阶段经济社会发展水平和农村实际，合理确定建设任务，科学有序开展建设，既尽力而为，又量力而行，不大拆大建，不贪大求洋，不“归大堆”、造“盆景”，着力打造一批类型多样、风貌各异、多姿多彩的示范乡村。</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sz w:val="32"/>
          <w:szCs w:val="30"/>
          <w:lang w:val="en-US" w:eastAsia="zh-CN"/>
        </w:rPr>
      </w:pPr>
      <w:r>
        <w:rPr>
          <w:rFonts w:hint="eastAsia" w:ascii="楷体_GB2312" w:hAnsi="楷体_GB2312" w:eastAsia="楷体_GB2312" w:cs="楷体_GB2312"/>
          <w:b/>
          <w:bCs/>
          <w:color w:val="000000"/>
          <w:sz w:val="32"/>
          <w:szCs w:val="30"/>
          <w:lang w:val="en-US" w:eastAsia="zh-CN"/>
        </w:rPr>
        <w:t>（四）坚持突出重点，逐步提升。</w:t>
      </w:r>
      <w:r>
        <w:rPr>
          <w:rFonts w:hint="eastAsia" w:ascii="仿宋_GB2312" w:hAnsi="仿宋_GB2312" w:eastAsia="仿宋_GB2312" w:cs="仿宋_GB2312"/>
          <w:color w:val="000000"/>
          <w:sz w:val="32"/>
          <w:szCs w:val="30"/>
          <w:lang w:val="en-US" w:eastAsia="zh-CN"/>
        </w:rPr>
        <w:t>坚持循序渐进，区分轻重缓急，分阶段、分步骤推进。从农民最期盼、最需要的事情做起，大力改善农村基本生产生活条件，重点抓好农村垃圾污水治理、卫生改厕、房前屋后环境整治等，达到干干净净、整整齐齐、清清爽爽的要求。在环境整治的基础上，支持有条件的地方以宜居宜业宜游为方向，进一步提升服务功能，发展特色产业，塑造乡村特色风貌，提升建设水平。</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sz w:val="32"/>
          <w:szCs w:val="30"/>
          <w:lang w:val="en-US" w:eastAsia="zh-CN"/>
        </w:rPr>
      </w:pPr>
      <w:r>
        <w:rPr>
          <w:rFonts w:hint="eastAsia" w:ascii="楷体_GB2312" w:hAnsi="楷体_GB2312" w:eastAsia="楷体_GB2312" w:cs="楷体_GB2312"/>
          <w:b/>
          <w:bCs/>
          <w:color w:val="000000"/>
          <w:sz w:val="32"/>
          <w:szCs w:val="30"/>
          <w:lang w:val="en-US" w:eastAsia="zh-CN"/>
        </w:rPr>
        <w:t>（五）坚持统筹联动，立体推进。</w:t>
      </w:r>
      <w:r>
        <w:rPr>
          <w:rFonts w:hint="eastAsia" w:ascii="仿宋_GB2312" w:hAnsi="仿宋_GB2312" w:eastAsia="仿宋_GB2312" w:cs="仿宋_GB2312"/>
          <w:color w:val="000000"/>
          <w:sz w:val="32"/>
          <w:szCs w:val="30"/>
          <w:lang w:val="en-US" w:eastAsia="zh-CN"/>
        </w:rPr>
        <w:t>抓好工作统筹，把示范乡村建设与村集体经济发展、农村人居环境整治、高标准农田建设、农村社区建设、传统村落保护、乡村治理、农村精神文明建设等结合起来，统筹谋划，协同推进，努力形成整体效应。</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四、目标任务</w:t>
      </w:r>
    </w:p>
    <w:p>
      <w:pPr>
        <w:keepNext/>
        <w:keepLines w:val="0"/>
        <w:pageBreakBefore w:val="0"/>
        <w:kinsoku/>
        <w:wordWrap/>
        <w:overflowPunct/>
        <w:topLinePunct w:val="0"/>
        <w:autoSpaceDE/>
        <w:autoSpaceDN/>
        <w:bidi w:val="0"/>
        <w:spacing w:line="600" w:lineRule="exact"/>
        <w:ind w:left="0" w:leftChars="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总体目标</w:t>
      </w:r>
    </w:p>
    <w:p>
      <w:pPr>
        <w:keepNext/>
        <w:keepLines w:val="0"/>
        <w:pageBreakBefore w:val="0"/>
        <w:kinsoku/>
        <w:wordWrap/>
        <w:overflowPunct/>
        <w:topLinePunct w:val="0"/>
        <w:autoSpaceDE/>
        <w:autoSpaceDN/>
        <w:bidi w:val="0"/>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乡村振兴的“20字方针”要求，通过基础设施完善、公共服务便利、村容村貌洁美、田园风格怡人、富民产业发展、乡风文明治理、农村全面改革等内容，实现农业高质高效、农村宜居宜业、农民富裕富足的目标。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年，示范乡镇达到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个，示范村达到</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个；示范乡镇有“一乡一业”，示范村有“一村一品”。</w:t>
      </w:r>
    </w:p>
    <w:p>
      <w:pPr>
        <w:keepNext/>
        <w:keepLines w:val="0"/>
        <w:pageBreakBefore w:val="0"/>
        <w:kinsoku/>
        <w:wordWrap/>
        <w:overflowPunct/>
        <w:topLinePunct w:val="0"/>
        <w:autoSpaceDE/>
        <w:autoSpaceDN/>
        <w:bidi w:val="0"/>
        <w:spacing w:line="600" w:lineRule="exact"/>
        <w:ind w:left="0" w:leftChars="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2．创建目标</w:t>
      </w:r>
    </w:p>
    <w:tbl>
      <w:tblPr>
        <w:tblStyle w:val="10"/>
        <w:tblpPr w:leftFromText="180" w:rightFromText="180" w:vertAnchor="text" w:horzAnchor="page" w:tblpX="1643"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560"/>
        <w:gridCol w:w="2518"/>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65" w:type="dxa"/>
            <w:vAlign w:val="center"/>
          </w:tcPr>
          <w:p>
            <w:pPr>
              <w:keepNext/>
              <w:keepLines w:val="0"/>
              <w:pageBreakBefore w:val="0"/>
              <w:widowControl w:val="0"/>
              <w:kinsoku/>
              <w:wordWrap/>
              <w:overflowPunct/>
              <w:topLinePunct w:val="0"/>
              <w:autoSpaceDE/>
              <w:autoSpaceDN/>
              <w:bidi w:val="0"/>
              <w:spacing w:line="240" w:lineRule="auto"/>
              <w:ind w:left="0" w:leftChars="0" w:right="0" w:firstLine="420" w:firstLineChars="200"/>
              <w:jc w:val="center"/>
              <w:textAlignment w:val="auto"/>
              <w:rPr>
                <w:rFonts w:hint="eastAsia" w:ascii="仿宋_GB2312" w:hAnsi="仿宋_GB2312" w:eastAsia="仿宋_GB2312" w:cs="仿宋_GB2312"/>
                <w:sz w:val="21"/>
                <w:szCs w:val="21"/>
                <w:vertAlign w:val="baseline"/>
              </w:rPr>
            </w:pPr>
          </w:p>
        </w:tc>
        <w:tc>
          <w:tcPr>
            <w:tcW w:w="2560" w:type="dxa"/>
            <w:vAlign w:val="center"/>
          </w:tcPr>
          <w:p>
            <w:pPr>
              <w:keepNext/>
              <w:keepLines w:val="0"/>
              <w:pageBreakBefore w:val="0"/>
              <w:widowControl w:val="0"/>
              <w:kinsoku/>
              <w:wordWrap/>
              <w:overflowPunct/>
              <w:topLinePunct w:val="0"/>
              <w:autoSpaceDE/>
              <w:autoSpaceDN/>
              <w:bidi w:val="0"/>
              <w:spacing w:line="240" w:lineRule="auto"/>
              <w:ind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2021年</w:t>
            </w:r>
          </w:p>
        </w:tc>
        <w:tc>
          <w:tcPr>
            <w:tcW w:w="2518" w:type="dxa"/>
            <w:vAlign w:val="center"/>
          </w:tcPr>
          <w:p>
            <w:pPr>
              <w:keepNext/>
              <w:keepLines w:val="0"/>
              <w:pageBreakBefore w:val="0"/>
              <w:widowControl w:val="0"/>
              <w:kinsoku/>
              <w:wordWrap/>
              <w:overflowPunct/>
              <w:topLinePunct w:val="0"/>
              <w:autoSpaceDE/>
              <w:autoSpaceDN/>
              <w:bidi w:val="0"/>
              <w:spacing w:line="240" w:lineRule="auto"/>
              <w:ind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2022年</w:t>
            </w:r>
          </w:p>
        </w:tc>
        <w:tc>
          <w:tcPr>
            <w:tcW w:w="3039" w:type="dxa"/>
            <w:vAlign w:val="center"/>
          </w:tcPr>
          <w:p>
            <w:pPr>
              <w:keepNext/>
              <w:keepLines w:val="0"/>
              <w:pageBreakBefore w:val="0"/>
              <w:widowControl w:val="0"/>
              <w:kinsoku/>
              <w:wordWrap/>
              <w:overflowPunct/>
              <w:topLinePunct w:val="0"/>
              <w:autoSpaceDE/>
              <w:autoSpaceDN/>
              <w:bidi w:val="0"/>
              <w:spacing w:line="240" w:lineRule="auto"/>
              <w:ind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65" w:type="dxa"/>
            <w:vAlign w:val="center"/>
          </w:tcPr>
          <w:p>
            <w:pPr>
              <w:keepNext/>
              <w:keepLines w:val="0"/>
              <w:pageBreakBefore w:val="0"/>
              <w:widowControl w:val="0"/>
              <w:kinsoku/>
              <w:wordWrap/>
              <w:overflowPunct/>
              <w:topLinePunct w:val="0"/>
              <w:autoSpaceDE/>
              <w:autoSpaceDN/>
              <w:bidi w:val="0"/>
              <w:spacing w:line="240" w:lineRule="auto"/>
              <w:ind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示范乡镇</w:t>
            </w:r>
          </w:p>
        </w:tc>
        <w:tc>
          <w:tcPr>
            <w:tcW w:w="2560" w:type="dxa"/>
            <w:vAlign w:val="center"/>
          </w:tcPr>
          <w:p>
            <w:pPr>
              <w:keepNext/>
              <w:keepLines w:val="0"/>
              <w:pageBreakBefore w:val="0"/>
              <w:widowControl w:val="0"/>
              <w:kinsoku/>
              <w:wordWrap/>
              <w:overflowPunct/>
              <w:topLinePunct w:val="0"/>
              <w:autoSpaceDE/>
              <w:autoSpaceDN/>
              <w:bidi w:val="0"/>
              <w:spacing w:line="240" w:lineRule="auto"/>
              <w:ind w:right="0"/>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西坡镇、山河镇</w:t>
            </w:r>
          </w:p>
        </w:tc>
        <w:tc>
          <w:tcPr>
            <w:tcW w:w="2518" w:type="dxa"/>
            <w:vAlign w:val="center"/>
          </w:tcPr>
          <w:p>
            <w:pPr>
              <w:keepNext/>
              <w:keepLines w:val="0"/>
              <w:pageBreakBefore w:val="0"/>
              <w:widowControl w:val="0"/>
              <w:kinsoku/>
              <w:wordWrap/>
              <w:overflowPunct/>
              <w:topLinePunct w:val="0"/>
              <w:autoSpaceDE/>
              <w:autoSpaceDN/>
              <w:bidi w:val="0"/>
              <w:spacing w:line="240" w:lineRule="auto"/>
              <w:ind w:right="0"/>
              <w:jc w:val="lef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z w:val="21"/>
                <w:szCs w:val="21"/>
                <w:lang w:val="en-US" w:eastAsia="zh-CN"/>
              </w:rPr>
              <w:t>榆林子镇、宫河镇、周家镇、永正镇</w:t>
            </w:r>
          </w:p>
        </w:tc>
        <w:tc>
          <w:tcPr>
            <w:tcW w:w="3039" w:type="dxa"/>
            <w:vAlign w:val="center"/>
          </w:tcPr>
          <w:p>
            <w:pPr>
              <w:keepNext/>
              <w:keepLines w:val="0"/>
              <w:pageBreakBefore w:val="0"/>
              <w:widowControl w:val="0"/>
              <w:kinsoku/>
              <w:wordWrap/>
              <w:overflowPunct/>
              <w:topLinePunct w:val="0"/>
              <w:autoSpaceDE/>
              <w:autoSpaceDN/>
              <w:bidi w:val="0"/>
              <w:spacing w:line="240" w:lineRule="auto"/>
              <w:ind w:right="0"/>
              <w:jc w:val="lef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z w:val="21"/>
                <w:szCs w:val="21"/>
                <w:lang w:val="en-US" w:eastAsia="zh-CN"/>
              </w:rPr>
              <w:t>永和镇、五顷塬乡、湫头镇、三嘉乡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2" w:hRule="atLeast"/>
        </w:trPr>
        <w:tc>
          <w:tcPr>
            <w:tcW w:w="765" w:type="dxa"/>
            <w:vAlign w:val="center"/>
          </w:tcPr>
          <w:p>
            <w:pPr>
              <w:keepNext/>
              <w:keepLines w:val="0"/>
              <w:pageBreakBefore w:val="0"/>
              <w:widowControl w:val="0"/>
              <w:kinsoku/>
              <w:wordWrap/>
              <w:overflowPunct/>
              <w:topLinePunct w:val="0"/>
              <w:autoSpaceDE/>
              <w:autoSpaceDN/>
              <w:bidi w:val="0"/>
              <w:spacing w:line="240" w:lineRule="auto"/>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示</w:t>
            </w:r>
          </w:p>
          <w:p>
            <w:pPr>
              <w:keepNext/>
              <w:keepLines w:val="0"/>
              <w:pageBreakBefore w:val="0"/>
              <w:widowControl w:val="0"/>
              <w:kinsoku/>
              <w:wordWrap/>
              <w:overflowPunct/>
              <w:topLinePunct w:val="0"/>
              <w:autoSpaceDE/>
              <w:autoSpaceDN/>
              <w:bidi w:val="0"/>
              <w:spacing w:line="240" w:lineRule="auto"/>
              <w:ind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范</w:t>
            </w:r>
          </w:p>
          <w:p>
            <w:pPr>
              <w:keepNext/>
              <w:keepLines w:val="0"/>
              <w:pageBreakBefore w:val="0"/>
              <w:widowControl w:val="0"/>
              <w:kinsoku/>
              <w:wordWrap/>
              <w:overflowPunct/>
              <w:topLinePunct w:val="0"/>
              <w:autoSpaceDE/>
              <w:autoSpaceDN/>
              <w:bidi w:val="0"/>
              <w:spacing w:line="240" w:lineRule="auto"/>
              <w:ind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村</w:t>
            </w:r>
          </w:p>
        </w:tc>
        <w:tc>
          <w:tcPr>
            <w:tcW w:w="2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23个：西坡镇石湾子村、高红村、伍畔村，山河镇李家川村、解川村、冯柳村，永正镇佛堂村、上官庄村、纪村，榆林子镇下沟村，宫河镇代店村、东里村、王录村，周家镇芦堡子村、周家村，五顷塬乡南邑村、龙咀子村、西渠村，湫头镇西沟村，永和镇房河村、罗川村，三嘉乡关川村、狼牙洼村。</w:t>
            </w:r>
          </w:p>
          <w:p>
            <w:pPr>
              <w:keepNext/>
              <w:keepLines w:val="0"/>
              <w:pageBreakBefore w:val="0"/>
              <w:widowControl w:val="0"/>
              <w:kinsoku/>
              <w:wordWrap/>
              <w:overflowPunct/>
              <w:topLinePunct w:val="0"/>
              <w:autoSpaceDE/>
              <w:autoSpaceDN/>
              <w:bidi w:val="0"/>
              <w:spacing w:line="240" w:lineRule="auto"/>
              <w:ind w:left="0" w:leftChars="0" w:right="0" w:firstLine="420" w:firstLineChars="200"/>
              <w:jc w:val="center"/>
              <w:textAlignment w:val="auto"/>
              <w:rPr>
                <w:rFonts w:hint="eastAsia" w:ascii="仿宋_GB2312" w:hAnsi="仿宋_GB2312" w:eastAsia="仿宋_GB2312" w:cs="仿宋_GB2312"/>
                <w:sz w:val="21"/>
                <w:szCs w:val="21"/>
                <w:vertAlign w:val="baseline"/>
              </w:rPr>
            </w:pPr>
          </w:p>
        </w:tc>
        <w:tc>
          <w:tcPr>
            <w:tcW w:w="2518" w:type="dxa"/>
            <w:vAlign w:val="center"/>
          </w:tcPr>
          <w:p>
            <w:pPr>
              <w:keepNext/>
              <w:keepLines w:val="0"/>
              <w:pageBreakBefore w:val="0"/>
              <w:widowControl w:val="0"/>
              <w:kinsoku/>
              <w:wordWrap/>
              <w:overflowPunct/>
              <w:topLinePunct w:val="0"/>
              <w:autoSpaceDE/>
              <w:autoSpaceDN/>
              <w:bidi w:val="0"/>
              <w:spacing w:line="240" w:lineRule="auto"/>
              <w:ind w:right="0"/>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z w:val="21"/>
                <w:szCs w:val="21"/>
                <w:lang w:val="en-US" w:eastAsia="zh-CN"/>
              </w:rPr>
              <w:t>23个：西坡镇西坡村、柴桥子村，山河镇蔡峪村、移风村、董庄村，永正镇堡住村、东龙头村，榆林子镇任家村、石家村、文乐村、乐安坊村，宫河镇南庄村、雷村、南堡子村，周家镇房村、燕家村，五顷塬乡孟河村，湫头镇张村、新庄子村，永和镇樊村、上南村，三嘉乡林坡村、后坡村。</w:t>
            </w:r>
          </w:p>
        </w:tc>
        <w:tc>
          <w:tcPr>
            <w:tcW w:w="3039" w:type="dxa"/>
            <w:vAlign w:val="center"/>
          </w:tcPr>
          <w:p>
            <w:pPr>
              <w:keepNext/>
              <w:keepLines w:val="0"/>
              <w:pageBreakBefore w:val="0"/>
              <w:widowControl w:val="0"/>
              <w:kinsoku/>
              <w:wordWrap/>
              <w:overflowPunct/>
              <w:topLinePunct w:val="0"/>
              <w:autoSpaceDE/>
              <w:autoSpaceDN/>
              <w:bidi w:val="0"/>
              <w:spacing w:line="240" w:lineRule="auto"/>
              <w:ind w:right="0"/>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个：西坡镇韩坳村、月南村、宋畔村，山河镇东关村、松树村、王阁村、西关村、佑苏村，永正镇刘家堡子村、路里村、南住村、王沟圈村、友好村，榆林子镇党家村、高龙头村、乐兴村、马家村、习仵村、小寺头村、中巷村，宫河镇长口子村、北堡子村、东山头村、宫河村、彭姚川村、西里村，周家镇惠塬村、车家沟村、大璋村、核桃峪村、梁家村、乔坡村、西庄村、下冯村、徐家村，五顷塬乡西头村，湫头镇苟仁村、湫头村、双佛堂村、王郎坡村，永和镇安兴村、罗沟圈村、寺村、下南村、于家庄村，三嘉乡刘家川村、松树坪村、东庄村。</w:t>
            </w:r>
          </w:p>
        </w:tc>
      </w:tr>
    </w:tbl>
    <w:p>
      <w:pPr>
        <w:keepNext/>
        <w:keepLines w:val="0"/>
        <w:pageBreakBefore w:val="0"/>
        <w:kinsoku/>
        <w:wordWrap/>
        <w:overflowPunct/>
        <w:topLinePunct w:val="0"/>
        <w:autoSpaceDE/>
        <w:autoSpaceDN/>
        <w:bidi w:val="0"/>
        <w:spacing w:line="60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备注：示范乡镇创建时间</w:t>
      </w:r>
      <w:r>
        <w:rPr>
          <w:rFonts w:hint="eastAsia" w:ascii="仿宋_GB2312" w:hAnsi="仿宋_GB2312" w:eastAsia="仿宋_GB2312" w:cs="仿宋_GB2312"/>
          <w:sz w:val="28"/>
          <w:szCs w:val="28"/>
          <w:lang w:val="en-US" w:eastAsia="zh-CN"/>
        </w:rPr>
        <w:t>2年，示范村创建时间1年。</w:t>
      </w:r>
    </w:p>
    <w:p>
      <w:pPr>
        <w:pStyle w:val="2"/>
        <w:rPr>
          <w:rFonts w:hint="default"/>
          <w:lang w:val="en-US" w:eastAsia="zh-CN"/>
        </w:rPr>
      </w:pPr>
    </w:p>
    <w:p>
      <w:pPr>
        <w:keepNext/>
        <w:keepLines w:val="0"/>
        <w:pageBreakBefore w:val="0"/>
        <w:kinsoku/>
        <w:wordWrap/>
        <w:overflowPunct/>
        <w:topLinePunct w:val="0"/>
        <w:autoSpaceDE/>
        <w:autoSpaceDN/>
        <w:bidi w:val="0"/>
        <w:spacing w:line="600" w:lineRule="exact"/>
        <w:ind w:left="0" w:leftChars="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3．指标体系</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乡村建设示范村建设标准主要指标体系</w:t>
      </w:r>
    </w:p>
    <w:tbl>
      <w:tblPr>
        <w:tblStyle w:val="10"/>
        <w:tblpPr w:leftFromText="180" w:rightFromText="180" w:vertAnchor="text" w:horzAnchor="page" w:tblpXSpec="center" w:tblpY="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900"/>
        <w:gridCol w:w="2754"/>
        <w:gridCol w:w="761"/>
        <w:gridCol w:w="128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分类</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主要指标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单位</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标准指数</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产业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lang w:val="en-US" w:eastAsia="zh-CN"/>
              </w:rPr>
              <w:t>兴旺</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机械化水平</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农业科技贡献率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专业合作社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家庭农场</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农户参与合作经营组织占比</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主导产业产值</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万元</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产业收入占农民可支配收入比例</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生态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lang w:val="en-US" w:eastAsia="zh-CN"/>
              </w:rPr>
              <w:t>宜居</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20"/>
                <w:szCs w:val="20"/>
                <w:vertAlign w:val="baseline"/>
                <w:lang w:val="en-US" w:eastAsia="zh-CN"/>
              </w:rPr>
              <w:t>农户门前道路及入户路硬化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0"/>
                <w:szCs w:val="20"/>
                <w:vertAlign w:val="baseline"/>
                <w:lang w:val="en-US" w:eastAsia="zh-CN"/>
              </w:rPr>
              <w:t>村庄主干道及公共区域亮化</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行政村公厕覆盖率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户用卫生厕所普及率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80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畜禽粪污综合利用率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生活污水治理率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生活垃圾处理率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15</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18"/>
                <w:szCs w:val="18"/>
                <w:vertAlign w:val="baseline"/>
                <w:lang w:val="zh-CN" w:eastAsia="zh-CN"/>
              </w:rPr>
              <w:t>农膜回收率和秸秆综合利用率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80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16</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村庄绿化有效率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乡风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文明</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“一约五会”覆盖率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社会主义核心价值观宣教阵地</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农村文化阵地</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文化长廊</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文化宣传队</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五星级文明户占比</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村级综合性服务中心</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有效</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纠纷调解成功率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法治文化场所</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法律顾问</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驻村民（辅）警</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“四星级”基层党支部</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生活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富裕</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农村安全饮水普及率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义务教育和适龄儿童幼儿园入园率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农村合作医疗参合率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农村千兆光缆、5G网络基站及公共区域无线WIFI建设</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标准化卫生室达标率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农村养老保险参保率</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农民人均可支配收入</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高于全县平均水平</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21"/>
                <w:szCs w:val="21"/>
                <w:vertAlign w:val="baseline"/>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2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群众满意度</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95</w:t>
            </w:r>
          </w:p>
        </w:tc>
        <w:tc>
          <w:tcPr>
            <w:tcW w:w="1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约束性</w:t>
            </w:r>
          </w:p>
        </w:tc>
      </w:tr>
    </w:tbl>
    <w:p>
      <w:pPr>
        <w:keepNext/>
        <w:keepLines w:val="0"/>
        <w:pageBreakBefore w:val="0"/>
        <w:kinsoku/>
        <w:wordWrap/>
        <w:overflowPunct/>
        <w:topLinePunct w:val="0"/>
        <w:autoSpaceDE/>
        <w:autoSpaceDN/>
        <w:bidi w:val="0"/>
        <w:spacing w:line="60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创建内容</w:t>
      </w:r>
    </w:p>
    <w:p>
      <w:pPr>
        <w:keepNext/>
        <w:keepLines w:val="0"/>
        <w:pageBreakBefore w:val="0"/>
        <w:kinsoku/>
        <w:wordWrap/>
        <w:overflowPunct/>
        <w:topLinePunct w:val="0"/>
        <w:autoSpaceDE/>
        <w:autoSpaceDN/>
        <w:bidi w:val="0"/>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规划先行引领、富</w:t>
      </w:r>
      <w:r>
        <w:rPr>
          <w:rFonts w:hint="eastAsia" w:ascii="仿宋_GB2312" w:hAnsi="仿宋_GB2312" w:eastAsia="仿宋_GB2312" w:cs="仿宋_GB2312"/>
          <w:sz w:val="32"/>
          <w:szCs w:val="32"/>
          <w:lang w:val="en-US" w:eastAsia="zh-CN"/>
        </w:rPr>
        <w:t>民产业培育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公共基础设施建设、基本公共服务建设、乡村治理和精神文明建设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大工程”。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（一）规划</w:t>
      </w:r>
      <w:r>
        <w:rPr>
          <w:rFonts w:hint="eastAsia" w:ascii="楷体_GB2312" w:hAnsi="楷体_GB2312" w:eastAsia="楷体_GB2312" w:cs="楷体_GB2312"/>
          <w:b/>
          <w:color w:val="000000"/>
          <w:sz w:val="32"/>
          <w:szCs w:val="32"/>
        </w:rPr>
        <w:t>先行引领。</w:t>
      </w:r>
      <w:r>
        <w:rPr>
          <w:rFonts w:hint="eastAsia" w:ascii="仿宋_GB2312" w:hAnsi="仿宋_GB2312" w:eastAsia="仿宋_GB2312" w:cs="仿宋_GB2312"/>
          <w:color w:val="000000"/>
          <w:sz w:val="32"/>
          <w:szCs w:val="32"/>
        </w:rPr>
        <w:t>发挥规划在乡村建设中的统领作用，先规划后建设，一张蓝图绘到底，一届接着一届干,实现资源统筹优化配置，空间合理开发利用。坚持城乡一体设计、多规合一理念，建立健全县、乡、村一体规划机制，科学布局乡村生产生活生态空间。严格规范村庄撒并，不得违背农民意愿，强迫农民上楼。</w:t>
      </w:r>
      <w:r>
        <w:rPr>
          <w:rFonts w:hint="eastAsia" w:ascii="仿宋_GB2312" w:hAnsi="仿宋_GB2312" w:eastAsia="仿宋_GB2312" w:cs="仿宋_GB2312"/>
          <w:sz w:val="32"/>
          <w:szCs w:val="32"/>
        </w:rPr>
        <w:t>自然资源局对全县的规划进行分类指导，</w:t>
      </w:r>
      <w:r>
        <w:rPr>
          <w:rFonts w:hint="eastAsia" w:ascii="仿宋_GB2312" w:hAnsi="仿宋_GB2312" w:eastAsia="仿宋_GB2312" w:cs="仿宋_GB2312"/>
          <w:sz w:val="32"/>
          <w:szCs w:val="32"/>
          <w:lang w:eastAsia="zh-CN"/>
        </w:rPr>
        <w:t>以前</w:t>
      </w:r>
      <w:r>
        <w:rPr>
          <w:rFonts w:hint="eastAsia" w:ascii="仿宋_GB2312" w:hAnsi="仿宋_GB2312" w:eastAsia="仿宋_GB2312" w:cs="仿宋_GB2312"/>
          <w:sz w:val="32"/>
          <w:szCs w:val="32"/>
        </w:rPr>
        <w:t>没有规划的，尽快进行编制</w:t>
      </w:r>
      <w:r>
        <w:rPr>
          <w:rFonts w:hint="eastAsia" w:ascii="仿宋_GB2312" w:hAnsi="仿宋_GB2312" w:eastAsia="仿宋_GB2312" w:cs="仿宋_GB2312"/>
          <w:sz w:val="32"/>
          <w:szCs w:val="32"/>
          <w:lang w:eastAsia="zh-CN"/>
        </w:rPr>
        <w:t>；部分村现有</w:t>
      </w:r>
      <w:r>
        <w:rPr>
          <w:rFonts w:hint="eastAsia" w:ascii="仿宋_GB2312" w:hAnsi="仿宋_GB2312" w:eastAsia="仿宋_GB2312" w:cs="仿宋_GB2312"/>
          <w:sz w:val="32"/>
          <w:szCs w:val="32"/>
        </w:rPr>
        <w:t>的新农村规划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美丽乡村规划，</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乡村建设</w:t>
      </w:r>
      <w:r>
        <w:rPr>
          <w:rFonts w:hint="eastAsia" w:ascii="仿宋_GB2312" w:hAnsi="仿宋_GB2312" w:eastAsia="仿宋_GB2312" w:cs="仿宋_GB2312"/>
          <w:sz w:val="32"/>
          <w:szCs w:val="32"/>
          <w:lang w:eastAsia="zh-CN"/>
        </w:rPr>
        <w:t>相关内容并</w:t>
      </w:r>
      <w:r>
        <w:rPr>
          <w:rFonts w:hint="eastAsia" w:ascii="仿宋_GB2312" w:hAnsi="仿宋_GB2312" w:eastAsia="仿宋_GB2312" w:cs="仿宋_GB2312"/>
          <w:sz w:val="32"/>
          <w:szCs w:val="32"/>
        </w:rPr>
        <w:t>修改完善后形成新的规划，</w:t>
      </w:r>
      <w:r>
        <w:rPr>
          <w:rFonts w:hint="eastAsia" w:ascii="仿宋_GB2312" w:hAnsi="仿宋_GB2312" w:eastAsia="仿宋_GB2312" w:cs="仿宋_GB2312"/>
          <w:color w:val="000000"/>
          <w:sz w:val="32"/>
          <w:szCs w:val="32"/>
          <w:highlight w:val="none"/>
          <w:lang w:val="en-US" w:eastAsia="zh-CN"/>
        </w:rPr>
        <w:t>2021年完成23个示范村规划编制任务。</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auto"/>
          <w:sz w:val="32"/>
          <w:szCs w:val="32"/>
          <w:highlight w:val="none"/>
          <w:lang w:val="en-US" w:eastAsia="zh-CN"/>
        </w:rPr>
        <w:t>（二）富民产业培育。</w:t>
      </w:r>
      <w:r>
        <w:rPr>
          <w:rFonts w:hint="eastAsia" w:ascii="仿宋_GB2312" w:hAnsi="仿宋_GB2312" w:eastAsia="仿宋_GB2312" w:cs="仿宋_GB2312"/>
          <w:color w:val="000000"/>
          <w:sz w:val="32"/>
          <w:szCs w:val="32"/>
          <w:lang w:val="en-US" w:eastAsia="zh-CN"/>
        </w:rPr>
        <w:t>按照因地制宜、因势利导，突出特色、片带结合的要求，在现有产业基础、发展优势及潜力，重点建设肉牛产业区、生猪产业区、苹果产业带、瓜菜产业带的“两区两带”产业格局，突出抓好特色优势产业“三年倍增行动计划”，着力建设粮食生产功能区、中药材标准化生产基地，创建功能性、示范性、综合性的产业园区，加快一二三产融合，实现区域资源优势向产业优势的转化，形成独具特色的种养循环的生态经济产业布局。通过产业发展，使大部分群众都有1-2个主导产业，户均增加收入2850元</w:t>
      </w:r>
      <w:r>
        <w:rPr>
          <w:rFonts w:hint="eastAsia" w:ascii="楷体_GB2312" w:hAnsi="楷体_GB2312" w:eastAsia="楷体_GB2312" w:cs="楷体_GB2312"/>
          <w:b/>
          <w:bCs/>
          <w:color w:val="000000"/>
          <w:sz w:val="30"/>
          <w:szCs w:val="30"/>
          <w:lang w:val="en-US" w:eastAsia="zh-CN"/>
        </w:rPr>
        <w:t>（其中脱贫户在人均纯收入超过6000元的基础上实现年均稳定增收3500元）</w:t>
      </w:r>
      <w:r>
        <w:rPr>
          <w:rFonts w:hint="eastAsia" w:ascii="仿宋_GB2312" w:hAnsi="仿宋_GB2312" w:eastAsia="仿宋_GB2312" w:cs="仿宋_GB2312"/>
          <w:color w:val="000000"/>
          <w:sz w:val="32"/>
          <w:szCs w:val="32"/>
          <w:lang w:val="en-US" w:eastAsia="zh-CN"/>
        </w:rPr>
        <w:t>，产业增收占群众总收入的65%以上。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肉牛产业。</w:t>
      </w:r>
      <w:r>
        <w:rPr>
          <w:rFonts w:hint="eastAsia" w:ascii="仿宋_GB2312" w:hAnsi="仿宋_GB2312" w:eastAsia="仿宋_GB2312" w:cs="仿宋_GB2312"/>
          <w:color w:val="000000"/>
          <w:sz w:val="32"/>
          <w:szCs w:val="32"/>
          <w:lang w:val="en-US" w:eastAsia="zh-CN"/>
        </w:rPr>
        <w:t>全力实施“五双计划”，加快推进肉牛核心育种场、2万头肉牛产业园、10个千头育肥场以及饲草生产配送、综合屠宰加工等重点产业化项目建设；抓好6头以上规模户母牛养殖发展，培育专业乡镇2个、专业村10个。到年底全县肉牛饲养量达到8万头，其中能繁母牛存栏7万头，年出栏3万头，实现肉牛产业年产值12亿元，力争到2023年把正宁打造成省级肉牛产业示范县。</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2、生猪产业。</w:t>
      </w:r>
      <w:r>
        <w:rPr>
          <w:rFonts w:hint="eastAsia" w:ascii="仿宋_GB2312" w:hAnsi="仿宋_GB2312" w:eastAsia="仿宋_GB2312" w:cs="仿宋_GB2312"/>
          <w:color w:val="000000"/>
          <w:sz w:val="32"/>
          <w:szCs w:val="32"/>
          <w:lang w:val="en-US" w:eastAsia="zh-CN"/>
        </w:rPr>
        <w:t>抓好生猪稳产保供目标任务，加快生猪养殖企业及合作社优化改造提升工程，跟进抓好东方希望集团百万头生猪全产业链项目，对接建设生猪繁育场、育肥场、饲料加工厂、屠宰加工场、冷链物流生产线等项目，建立集“生猪养殖+饲料生产+屠宰加工+冷链物流”为一体的现代化生态循环养殖全产业链，力争2021年全县生猪育肥量达到60万头以上，到2023年努力将我县打造为西北地区最大的生猪养殖和优质产品生产大县。</w:t>
      </w:r>
    </w:p>
    <w:p>
      <w:pPr>
        <w:pStyle w:val="4"/>
        <w:keepNext w:val="0"/>
        <w:keepLines w:val="0"/>
        <w:pageBreakBefore w:val="0"/>
        <w:kinsoku/>
        <w:wordWrap/>
        <w:overflowPunct/>
        <w:topLinePunct w:val="0"/>
        <w:autoSpaceDE/>
        <w:autoSpaceDN/>
        <w:bidi w:val="0"/>
        <w:spacing w:line="600" w:lineRule="exact"/>
        <w:ind w:left="0" w:firstLine="643"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3、苹果产业。</w:t>
      </w:r>
      <w:r>
        <w:rPr>
          <w:rFonts w:hint="eastAsia" w:ascii="仿宋_GB2312" w:hAnsi="仿宋_GB2312" w:eastAsia="仿宋_GB2312" w:cs="仿宋_GB2312"/>
          <w:color w:val="000000"/>
          <w:kern w:val="0"/>
          <w:sz w:val="32"/>
          <w:szCs w:val="32"/>
          <w:lang w:val="en-US" w:eastAsia="zh-CN" w:bidi="ar-SA"/>
        </w:rPr>
        <w:t>重点落实好永和塬优质高效成园和宫河塬矮化密植高标准幼园2个示范带建设，建设2万亩有机肥替代化肥苹果示范园，全面落实生产工业化、建园高端化、管理标准化、产品有机化、服务社会化、营销品牌化，</w:t>
      </w:r>
      <w:r>
        <w:rPr>
          <w:rFonts w:hint="eastAsia" w:ascii="仿宋_GB2312" w:hAnsi="仿宋_GB2312" w:eastAsia="仿宋_GB2312" w:cs="仿宋_GB2312"/>
          <w:color w:val="000000"/>
          <w:kern w:val="0"/>
          <w:sz w:val="32"/>
          <w:szCs w:val="32"/>
          <w:lang w:val="zh-CN" w:eastAsia="zh-CN" w:bidi="ar-SA"/>
        </w:rPr>
        <w:t>进一步提高苹果产业发展层次和水平。</w:t>
      </w:r>
      <w:r>
        <w:rPr>
          <w:rFonts w:hint="eastAsia" w:ascii="仿宋_GB2312" w:hAnsi="仿宋_GB2312" w:eastAsia="仿宋_GB2312" w:cs="仿宋_GB2312"/>
          <w:color w:val="000000"/>
          <w:kern w:val="0"/>
          <w:sz w:val="32"/>
          <w:szCs w:val="32"/>
          <w:lang w:val="en-US" w:eastAsia="zh-CN" w:bidi="ar-SA"/>
        </w:rPr>
        <w:t>2021年全县苹果面积达到15万亩，产量18万吨以上。到2023年，全县苹果面积达到20万亩，产量20万吨，实现“正宁苹果”地理标志、</w:t>
      </w:r>
      <w:r>
        <w:rPr>
          <w:rFonts w:hint="eastAsia" w:ascii="仿宋_GB2312" w:hAnsi="仿宋_GB2312" w:eastAsia="仿宋_GB2312" w:cs="仿宋_GB2312"/>
          <w:color w:val="000000"/>
          <w:kern w:val="0"/>
          <w:sz w:val="32"/>
          <w:szCs w:val="32"/>
          <w:lang w:val="zh-CN" w:eastAsia="zh-CN" w:bidi="ar-SA"/>
        </w:rPr>
        <w:t>全国有机苹果生产示范县、全国优质苹果全产业链发展示范县三大目标</w:t>
      </w:r>
      <w:r>
        <w:rPr>
          <w:rFonts w:hint="eastAsia" w:ascii="仿宋_GB2312" w:hAnsi="仿宋_GB2312" w:eastAsia="仿宋_GB2312" w:cs="仿宋_GB2312"/>
          <w:color w:val="000000"/>
          <w:kern w:val="0"/>
          <w:sz w:val="32"/>
          <w:szCs w:val="32"/>
          <w:lang w:val="en-US" w:eastAsia="zh-CN" w:bidi="ar-SA"/>
        </w:rPr>
        <w:t>。</w:t>
      </w:r>
    </w:p>
    <w:p>
      <w:pPr>
        <w:pStyle w:val="4"/>
        <w:keepNext w:val="0"/>
        <w:keepLines w:val="0"/>
        <w:pageBreakBefore w:val="0"/>
        <w:kinsoku/>
        <w:wordWrap/>
        <w:overflowPunct/>
        <w:topLinePunct w:val="0"/>
        <w:autoSpaceDE/>
        <w:autoSpaceDN/>
        <w:bidi w:val="0"/>
        <w:spacing w:line="600" w:lineRule="exact"/>
        <w:ind w:left="0" w:firstLine="643"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4、瓜菜产业。</w:t>
      </w:r>
      <w:r>
        <w:rPr>
          <w:rFonts w:hint="eastAsia" w:ascii="仿宋_GB2312" w:hAnsi="仿宋_GB2312" w:eastAsia="仿宋_GB2312" w:cs="仿宋_GB2312"/>
          <w:color w:val="000000"/>
          <w:kern w:val="0"/>
          <w:sz w:val="32"/>
          <w:szCs w:val="32"/>
          <w:lang w:val="en-US" w:eastAsia="zh-CN" w:bidi="ar-SA"/>
        </w:rPr>
        <w:t>坚持设施种植与露地种植、时令瓜菜与反季瓜菜、适度规模种植与农户分散种植相结合的“三结合”思路，走高效、绿色、有机的产业发展路子，扩基地、创品牌，重点打造“126”示范工程</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rPr>
        <w:t>1个万亩蔬菜片带</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四郎河川区绿色瓜菜示范片带；2个育苗园区</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宫河现代农业示范园区、宝源绿洲高效农业示范园区；6个瓜菜基地</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山河解川千亩麒麟西瓜、永正佛堂高档蔬果采摘、永和罗川设施蔬菜、宫河彭姚川大葱、西坡宋畔城郊蔬菜、周家芦堡煤田“菜篮子”基地）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SA"/>
        </w:rPr>
        <w:t>2021年，全县瓜菜种植面积稳定在3.5万亩，到2023年，全县瓜菜面积达到5万亩左右。</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5、中药材产业。</w:t>
      </w:r>
      <w:r>
        <w:rPr>
          <w:rFonts w:hint="eastAsia" w:ascii="仿宋_GB2312" w:hAnsi="仿宋_GB2312" w:eastAsia="仿宋_GB2312" w:cs="仿宋_GB2312"/>
          <w:color w:val="000000"/>
          <w:kern w:val="0"/>
          <w:sz w:val="32"/>
          <w:szCs w:val="32"/>
          <w:lang w:val="en-US" w:eastAsia="zh-CN" w:bidi="ar-SA"/>
        </w:rPr>
        <w:t>采取“企业（合作社）＋基地＋农户”和农户种植相结合的发展模式，优选丹参、柴胡、大黄等用量大、用途广的中药材，大力推进GAP 、“道地”中药材标准化生产基地建设，提升产品质量，提高产业效益。年底建成华腾中药材销售公司5000吨产品加工厂建设任务，并投产使用。力争到2023年，种植中药材5万亩，形成优质的10个千亩标准化生产基地，认定GAP、道地种植面积2万亩左右。</w:t>
      </w:r>
    </w:p>
    <w:p>
      <w:pPr>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b/>
          <w:bCs/>
          <w:color w:val="auto"/>
          <w:sz w:val="32"/>
          <w:szCs w:val="32"/>
          <w:highlight w:val="none"/>
          <w:lang w:val="en-US" w:eastAsia="zh-CN" w:bidi="ar-SA"/>
        </w:rPr>
        <w:t>（三）公共基础设施。</w:t>
      </w:r>
      <w:r>
        <w:rPr>
          <w:rFonts w:hint="default" w:ascii="仿宋_GB2312" w:hAnsi="仿宋_GB2312" w:eastAsia="仿宋_GB2312" w:cs="仿宋_GB2312"/>
          <w:color w:val="000000"/>
          <w:kern w:val="0"/>
          <w:sz w:val="32"/>
          <w:szCs w:val="32"/>
          <w:lang w:val="en-US" w:eastAsia="zh-CN" w:bidi="ar-SA"/>
        </w:rPr>
        <w:t>按照填平补齐、完善功能、打造提升的思路，整体推进、分步实施。</w:t>
      </w:r>
    </w:p>
    <w:p>
      <w:pPr>
        <w:pStyle w:val="14"/>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b/>
          <w:bCs/>
          <w:color w:val="000000"/>
          <w:sz w:val="32"/>
          <w:szCs w:val="32"/>
          <w:highlight w:val="none"/>
          <w:lang w:val="en-US" w:eastAsia="zh-CN"/>
        </w:rPr>
        <w:t>1.道路</w:t>
      </w:r>
      <w:r>
        <w:rPr>
          <w:rFonts w:hint="eastAsia" w:ascii="仿宋_GB2312" w:hAnsi="仿宋_GB2312" w:eastAsia="仿宋_GB2312" w:cs="仿宋_GB2312"/>
          <w:b/>
          <w:bCs/>
          <w:color w:val="000000"/>
          <w:sz w:val="32"/>
          <w:szCs w:val="32"/>
          <w:highlight w:val="none"/>
          <w:lang w:val="en-US" w:eastAsia="zh-CN"/>
        </w:rPr>
        <w:t>。</w:t>
      </w:r>
      <w:r>
        <w:rPr>
          <w:rFonts w:hint="default" w:ascii="仿宋_GB2312" w:hAnsi="仿宋_GB2312" w:eastAsia="仿宋_GB2312" w:cs="仿宋_GB2312"/>
          <w:color w:val="000000"/>
          <w:kern w:val="0"/>
          <w:sz w:val="32"/>
          <w:szCs w:val="32"/>
          <w:lang w:val="en-US" w:eastAsia="zh-CN" w:bidi="ar-SA"/>
        </w:rPr>
        <w:t>实施道路畅通工程，</w:t>
      </w:r>
      <w:r>
        <w:rPr>
          <w:rFonts w:hint="eastAsia" w:ascii="仿宋_GB2312" w:hAnsi="仿宋_GB2312" w:eastAsia="仿宋_GB2312" w:cs="仿宋_GB2312"/>
          <w:color w:val="000000"/>
          <w:kern w:val="0"/>
          <w:sz w:val="32"/>
          <w:szCs w:val="32"/>
          <w:lang w:val="en-US" w:eastAsia="zh-CN" w:bidi="ar-SA"/>
        </w:rPr>
        <w:t>确保</w:t>
      </w:r>
      <w:r>
        <w:rPr>
          <w:rFonts w:hint="eastAsia" w:ascii="仿宋_GB2312" w:hAnsi="仿宋_GB2312" w:eastAsia="仿宋_GB2312" w:cs="仿宋_GB2312"/>
          <w:sz w:val="32"/>
          <w:szCs w:val="32"/>
          <w:lang w:val="en-US" w:eastAsia="zh-CN"/>
        </w:rPr>
        <w:t>村组路联网，进户路全覆盖。2021-2023年实施</w:t>
      </w:r>
      <w:r>
        <w:rPr>
          <w:rFonts w:hint="default" w:ascii="仿宋_GB2312" w:hAnsi="仿宋_GB2312" w:eastAsia="仿宋_GB2312" w:cs="仿宋_GB2312"/>
          <w:color w:val="000000"/>
          <w:kern w:val="0"/>
          <w:sz w:val="32"/>
          <w:szCs w:val="32"/>
          <w:lang w:val="en-US" w:eastAsia="zh-CN" w:bidi="ar-SA"/>
        </w:rPr>
        <w:t>县乡道路提质改造、农村公路提质改造、自然村道路建设、产业路</w:t>
      </w:r>
      <w:r>
        <w:rPr>
          <w:rFonts w:hint="eastAsia" w:ascii="仿宋_GB2312" w:hAnsi="仿宋_GB2312" w:eastAsia="仿宋_GB2312" w:cs="仿宋_GB2312"/>
          <w:color w:val="000000"/>
          <w:kern w:val="0"/>
          <w:sz w:val="32"/>
          <w:szCs w:val="32"/>
          <w:lang w:val="en-US" w:eastAsia="zh-CN" w:bidi="ar-SA"/>
        </w:rPr>
        <w:t>建设</w:t>
      </w:r>
      <w:r>
        <w:rPr>
          <w:rFonts w:hint="default" w:ascii="仿宋_GB2312" w:hAnsi="仿宋_GB2312" w:eastAsia="仿宋_GB2312" w:cs="仿宋_GB2312"/>
          <w:color w:val="000000"/>
          <w:kern w:val="0"/>
          <w:sz w:val="32"/>
          <w:szCs w:val="32"/>
          <w:lang w:val="en-US" w:eastAsia="zh-CN" w:bidi="ar-SA"/>
        </w:rPr>
        <w:t>，使农村公路建设项目更多向进村入户倾斜，争创“四好农村路”乡村振兴陇原样板。构建智慧交通绿色交通，完善公共交通服务，建设县城物流转运中心，形成以县城为中心、乡镇为依托、延伸到村组的城乡综合运输体系。建设充电桩、充电站，推广应用新能源和清洁能源车辆。创新经营模式，探索“定制客运”“网约车”“预约上门”等服务，推动客运市场转型发展。</w:t>
      </w:r>
    </w:p>
    <w:p>
      <w:pPr>
        <w:keepLines w:val="0"/>
        <w:pageBreakBefore w:val="0"/>
        <w:kinsoku/>
        <w:wordWrap/>
        <w:overflowPunct/>
        <w:topLinePunct w:val="0"/>
        <w:autoSpaceDE/>
        <w:autoSpaceDN/>
        <w:bidi w:val="0"/>
        <w:spacing w:line="600" w:lineRule="exact"/>
        <w:ind w:firstLine="643" w:firstLineChars="200"/>
        <w:textAlignment w:val="auto"/>
        <w:rPr>
          <w:rFonts w:hint="default" w:ascii="仿宋_GB2312" w:hAnsi="仿宋_GB2312" w:eastAsia="仿宋_GB2312" w:cs="仿宋_GB2312"/>
          <w:b w:val="0"/>
          <w:bCs w:val="0"/>
          <w:color w:val="000000"/>
          <w:kern w:val="0"/>
          <w:sz w:val="32"/>
          <w:szCs w:val="32"/>
          <w:highlight w:val="none"/>
          <w:lang w:val="zh-TW" w:eastAsia="zh-CN" w:bidi="ar-SA"/>
        </w:rPr>
      </w:pPr>
      <w:r>
        <w:rPr>
          <w:rFonts w:hint="default" w:ascii="仿宋_GB2312" w:hAnsi="仿宋_GB2312" w:eastAsia="仿宋_GB2312" w:cs="仿宋_GB2312"/>
          <w:b/>
          <w:bCs/>
          <w:color w:val="000000"/>
          <w:sz w:val="32"/>
          <w:szCs w:val="32"/>
          <w:highlight w:val="none"/>
          <w:lang w:val="en-US" w:eastAsia="zh-CN" w:bidi="ar-SA"/>
        </w:rPr>
        <w:t>2.给排水</w:t>
      </w:r>
      <w:r>
        <w:rPr>
          <w:rFonts w:hint="eastAsia" w:ascii="仿宋_GB2312" w:hAnsi="仿宋_GB2312" w:eastAsia="仿宋_GB2312" w:cs="仿宋_GB2312"/>
          <w:b/>
          <w:bCs/>
          <w:color w:val="00000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实施农村供水保障工程</w:t>
      </w:r>
      <w:r>
        <w:rPr>
          <w:rFonts w:hint="eastAsia" w:ascii="仿宋_GB2312" w:hAnsi="仿宋_GB2312" w:eastAsia="仿宋_GB2312" w:cs="仿宋_GB2312"/>
          <w:b w:val="0"/>
          <w:bCs w:val="0"/>
          <w:color w:val="000000"/>
          <w:kern w:val="0"/>
          <w:sz w:val="32"/>
          <w:szCs w:val="32"/>
          <w:lang w:val="en-US" w:eastAsia="zh-CN" w:bidi="ar-SA"/>
        </w:rPr>
        <w:t>、为民办实事工程</w:t>
      </w:r>
      <w:r>
        <w:rPr>
          <w:rFonts w:hint="default" w:ascii="仿宋_GB2312" w:hAnsi="仿宋_GB2312" w:eastAsia="仿宋_GB2312" w:cs="仿宋_GB2312"/>
          <w:b w:val="0"/>
          <w:bCs w:val="0"/>
          <w:color w:val="000000"/>
          <w:kern w:val="0"/>
          <w:sz w:val="32"/>
          <w:szCs w:val="32"/>
          <w:lang w:val="en-US" w:eastAsia="zh-CN" w:bidi="ar-SA"/>
        </w:rPr>
        <w:t>，完善农村供水骨干水源配套，推进城镇供水管网延伸，改造提升水处理设施，扩大农村供水管网覆盖面，推进城乡供水一体化</w:t>
      </w:r>
      <w:r>
        <w:rPr>
          <w:rFonts w:hint="eastAsia" w:ascii="仿宋_GB2312" w:hAnsi="仿宋_GB2312" w:eastAsia="仿宋_GB2312" w:cs="仿宋_GB2312"/>
          <w:b w:val="0"/>
          <w:bCs w:val="0"/>
          <w:color w:val="000000"/>
          <w:kern w:val="0"/>
          <w:sz w:val="32"/>
          <w:szCs w:val="32"/>
          <w:lang w:val="en-US" w:eastAsia="zh-CN" w:bidi="ar-SA"/>
        </w:rPr>
        <w:t>，通过并网联合、水源替换、供水系统信息化建设等工程措施形成规模化供水系统，使供水保证率达到98%、自来水入户率达到93%，水质和水量达标率达到100%。通过3年时间实施规模化供水工程4处，分别是：</w:t>
      </w:r>
      <w:r>
        <w:rPr>
          <w:rFonts w:hint="default" w:ascii="仿宋_GB2312" w:hAnsi="仿宋_GB2312" w:eastAsia="仿宋_GB2312" w:cs="仿宋_GB2312"/>
          <w:b w:val="0"/>
          <w:bCs w:val="0"/>
          <w:color w:val="000000"/>
          <w:kern w:val="0"/>
          <w:sz w:val="32"/>
          <w:szCs w:val="32"/>
          <w:lang w:val="en-US" w:eastAsia="zh-CN" w:bidi="ar-SA"/>
        </w:rPr>
        <w:t>永和塬供水</w:t>
      </w:r>
      <w:r>
        <w:rPr>
          <w:rFonts w:hint="eastAsia" w:ascii="仿宋_GB2312" w:hAnsi="仿宋_GB2312" w:eastAsia="仿宋_GB2312" w:cs="仿宋_GB2312"/>
          <w:b w:val="0"/>
          <w:bCs w:val="0"/>
          <w:color w:val="000000"/>
          <w:kern w:val="0"/>
          <w:sz w:val="32"/>
          <w:szCs w:val="32"/>
          <w:lang w:val="en-US" w:eastAsia="zh-CN" w:bidi="ar-SA"/>
        </w:rPr>
        <w:t>关家川泵站扬水工程，三嘉乡农村供水改造工程，庵里水库清淤工程，四郎河引水枢纽工程；实施为民办实事工程2处，分别是：西坡镇农村水源改造工程，宫河镇雷村一组机井工程。</w:t>
      </w:r>
      <w:r>
        <w:rPr>
          <w:rFonts w:hint="eastAsia" w:ascii="仿宋_GB2312" w:hAnsi="仿宋_GB2312" w:eastAsia="仿宋_GB2312" w:cs="仿宋_GB2312"/>
          <w:b w:val="0"/>
          <w:bCs w:val="0"/>
          <w:color w:val="000000"/>
          <w:kern w:val="0"/>
          <w:sz w:val="32"/>
          <w:szCs w:val="32"/>
          <w:highlight w:val="none"/>
          <w:lang w:val="en-US" w:eastAsia="zh-CN" w:bidi="ar-SA"/>
        </w:rPr>
        <w:t>开展</w:t>
      </w:r>
      <w:r>
        <w:rPr>
          <w:rFonts w:hint="default" w:ascii="仿宋_GB2312" w:hAnsi="仿宋_GB2312" w:eastAsia="仿宋_GB2312" w:cs="仿宋_GB2312"/>
          <w:b w:val="0"/>
          <w:bCs w:val="0"/>
          <w:color w:val="000000"/>
          <w:kern w:val="0"/>
          <w:sz w:val="32"/>
          <w:szCs w:val="32"/>
          <w:highlight w:val="none"/>
          <w:lang w:val="en-US" w:eastAsia="zh-CN" w:bidi="ar-SA"/>
        </w:rPr>
        <w:t>城乡污水处理</w:t>
      </w:r>
      <w:r>
        <w:rPr>
          <w:rFonts w:hint="eastAsia" w:ascii="仿宋_GB2312" w:hAnsi="仿宋_GB2312" w:eastAsia="仿宋_GB2312" w:cs="仿宋_GB2312"/>
          <w:b w:val="0"/>
          <w:bCs w:val="0"/>
          <w:color w:val="000000"/>
          <w:kern w:val="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highlight w:val="none"/>
          <w:lang w:val="en-US" w:eastAsia="zh-CN" w:bidi="ar-SA"/>
        </w:rPr>
        <w:t>提质增效</w:t>
      </w:r>
      <w:r>
        <w:rPr>
          <w:rFonts w:hint="eastAsia" w:ascii="仿宋_GB2312" w:hAnsi="仿宋_GB2312" w:eastAsia="仿宋_GB2312" w:cs="仿宋_GB2312"/>
          <w:b w:val="0"/>
          <w:bCs w:val="0"/>
          <w:color w:val="000000"/>
          <w:kern w:val="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highlight w:val="none"/>
          <w:lang w:val="en-US" w:eastAsia="zh-CN" w:bidi="ar-SA"/>
        </w:rPr>
        <w:t>行动，持续开展城乡黑臭水体专项整治，梯次推进农村生活污水治理。加强庵里水库等饮用水源地环境污染和安全隐患排查，有序开展水源地规范化建设，切实保障饮水安全。</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sz w:val="32"/>
          <w:szCs w:val="32"/>
          <w:highlight w:val="none"/>
          <w:lang w:val="en-US" w:eastAsia="zh-CN" w:bidi="ar-SA"/>
        </w:rPr>
        <w:t>3.</w:t>
      </w:r>
      <w:r>
        <w:rPr>
          <w:rFonts w:hint="default" w:ascii="仿宋_GB2312" w:hAnsi="仿宋_GB2312" w:eastAsia="仿宋_GB2312" w:cs="仿宋_GB2312"/>
          <w:b/>
          <w:bCs/>
          <w:color w:val="000000"/>
          <w:sz w:val="32"/>
          <w:szCs w:val="32"/>
          <w:highlight w:val="none"/>
          <w:lang w:val="en-US" w:eastAsia="zh-CN" w:bidi="ar-SA"/>
        </w:rPr>
        <w:t>供电</w:t>
      </w:r>
      <w:r>
        <w:rPr>
          <w:rFonts w:hint="eastAsia" w:ascii="仿宋_GB2312" w:hAnsi="仿宋_GB2312" w:eastAsia="仿宋_GB2312" w:cs="仿宋_GB2312"/>
          <w:b/>
          <w:bCs/>
          <w:color w:val="00000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按照电网改造升级，供电质量安全稳定，满足村民生活和乡村产业用能需求，杆线架设整齐有序，无安全隐患的要求，建设安全、可靠、绿色、高效的智能化电网，加快实施新一轮农村电网改造升级工程</w:t>
      </w:r>
      <w:r>
        <w:rPr>
          <w:rFonts w:hint="eastAsia" w:ascii="仿宋_GB2312" w:hAnsi="仿宋_GB2312" w:eastAsia="仿宋_GB2312" w:cs="仿宋_GB2312"/>
          <w:b w:val="0"/>
          <w:bCs w:val="0"/>
          <w:color w:val="000000"/>
          <w:kern w:val="0"/>
          <w:sz w:val="32"/>
          <w:szCs w:val="32"/>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重点实施正宁县农网改造升级10千伏及以下工程，</w:t>
      </w:r>
      <w:r>
        <w:rPr>
          <w:rFonts w:hint="eastAsia" w:ascii="仿宋_GB2312" w:hAnsi="仿宋_GB2312" w:eastAsia="仿宋_GB2312" w:cs="仿宋_GB2312"/>
          <w:b w:val="0"/>
          <w:bCs w:val="0"/>
          <w:color w:val="000000"/>
          <w:kern w:val="0"/>
          <w:sz w:val="32"/>
          <w:szCs w:val="32"/>
          <w:lang w:val="en-US" w:eastAsia="zh-CN" w:bidi="ar-SA"/>
        </w:rPr>
        <w:t>大力示范推广分布式光伏发电项目，</w:t>
      </w:r>
      <w:r>
        <w:rPr>
          <w:rFonts w:hint="default" w:ascii="仿宋_GB2312" w:hAnsi="仿宋_GB2312" w:eastAsia="仿宋_GB2312" w:cs="仿宋_GB2312"/>
          <w:b w:val="0"/>
          <w:bCs w:val="0"/>
          <w:color w:val="000000"/>
          <w:kern w:val="0"/>
          <w:sz w:val="32"/>
          <w:szCs w:val="32"/>
          <w:lang w:val="en-US" w:eastAsia="zh-CN" w:bidi="ar-SA"/>
        </w:rPr>
        <w:t>进一步改善乡村供电质量</w:t>
      </w:r>
      <w:r>
        <w:rPr>
          <w:rFonts w:hint="eastAsia" w:ascii="仿宋_GB2312" w:hAnsi="仿宋_GB2312" w:eastAsia="仿宋_GB2312" w:cs="仿宋_GB2312"/>
          <w:b w:val="0"/>
          <w:bCs w:val="0"/>
          <w:color w:val="000000"/>
          <w:kern w:val="0"/>
          <w:sz w:val="32"/>
          <w:szCs w:val="32"/>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bCs/>
          <w:color w:val="000000"/>
          <w:sz w:val="32"/>
          <w:szCs w:val="32"/>
          <w:highlight w:val="none"/>
          <w:lang w:val="en-US" w:eastAsia="zh-CN" w:bidi="ar-SA"/>
        </w:rPr>
        <w:t>4.通信</w:t>
      </w:r>
      <w:r>
        <w:rPr>
          <w:rFonts w:hint="eastAsia" w:ascii="仿宋_GB2312" w:hAnsi="仿宋_GB2312" w:eastAsia="仿宋_GB2312" w:cs="仿宋_GB2312"/>
          <w:b/>
          <w:bCs/>
          <w:color w:val="00000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按照光纤宽带网络通村，信号畅通、线路建设规范、安全有序的要求，逐步在有条件的村庄采用管道地下敷设，加强农村固定网、移动网的建设、不断优化和服务保障</w:t>
      </w:r>
      <w:r>
        <w:rPr>
          <w:rFonts w:hint="eastAsia" w:ascii="仿宋_GB2312" w:hAnsi="仿宋_GB2312" w:eastAsia="仿宋_GB2312" w:cs="仿宋_GB2312"/>
          <w:b w:val="0"/>
          <w:bCs w:val="0"/>
          <w:color w:val="000000"/>
          <w:kern w:val="0"/>
          <w:sz w:val="32"/>
          <w:szCs w:val="32"/>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突出融合基础设施建设，统筹融合数据中心建设应用，加快</w:t>
      </w:r>
      <w:r>
        <w:rPr>
          <w:rFonts w:hint="eastAsia" w:ascii="仿宋_GB2312" w:hAnsi="仿宋_GB2312" w:eastAsia="仿宋_GB2312" w:cs="仿宋_GB2312"/>
          <w:b w:val="0"/>
          <w:bCs w:val="0"/>
          <w:color w:val="000000"/>
          <w:kern w:val="0"/>
          <w:sz w:val="32"/>
          <w:szCs w:val="32"/>
          <w:lang w:val="en-US" w:eastAsia="zh-CN" w:bidi="ar-SA"/>
        </w:rPr>
        <w:t>第五代移动通信技术（5G）</w:t>
      </w:r>
      <w:r>
        <w:rPr>
          <w:rFonts w:hint="default" w:ascii="仿宋_GB2312" w:hAnsi="仿宋_GB2312" w:eastAsia="仿宋_GB2312" w:cs="仿宋_GB2312"/>
          <w:b w:val="0"/>
          <w:bCs w:val="0"/>
          <w:color w:val="000000"/>
          <w:kern w:val="0"/>
          <w:sz w:val="32"/>
          <w:szCs w:val="32"/>
          <w:lang w:val="en-US" w:eastAsia="zh-CN" w:bidi="ar-SA"/>
        </w:rPr>
        <w:t>、大数据、云计算、人工智能发展和示范应用。大力发展智慧教育、智慧医疗、智慧政务、智慧交通、智慧农业、智慧物流等配套建设相关设施，全面推进新型智慧城市建设。</w:t>
      </w:r>
    </w:p>
    <w:p>
      <w:pPr>
        <w:pStyle w:val="14"/>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bCs/>
          <w:color w:val="000000"/>
          <w:sz w:val="32"/>
          <w:szCs w:val="32"/>
          <w:highlight w:val="none"/>
          <w:lang w:val="en-US" w:eastAsia="zh-CN" w:bidi="ar-SA"/>
        </w:rPr>
        <w:t>5.物流</w:t>
      </w:r>
      <w:r>
        <w:rPr>
          <w:rFonts w:hint="eastAsia" w:ascii="仿宋_GB2312" w:hAnsi="仿宋_GB2312" w:eastAsia="仿宋_GB2312" w:cs="仿宋_GB2312"/>
          <w:b/>
          <w:bCs/>
          <w:color w:val="00000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鼓励引导有条件的行政村建设农资服务社、信息服务平台、快递物流网点，不断完善提升镇村物流体系建设</w:t>
      </w:r>
      <w:r>
        <w:rPr>
          <w:rFonts w:hint="eastAsia" w:ascii="仿宋_GB2312" w:hAnsi="仿宋_GB2312" w:eastAsia="仿宋_GB2312" w:cs="仿宋_GB2312"/>
          <w:b w:val="0"/>
          <w:bCs w:val="0"/>
          <w:color w:val="000000"/>
          <w:kern w:val="0"/>
          <w:sz w:val="32"/>
          <w:szCs w:val="32"/>
          <w:lang w:val="en-US" w:eastAsia="zh-CN" w:bidi="ar-SA"/>
        </w:rPr>
        <w:t>，进一步提升群众购买力，促进电商运营发展</w:t>
      </w:r>
      <w:r>
        <w:rPr>
          <w:rFonts w:hint="default" w:ascii="仿宋_GB2312" w:hAnsi="仿宋_GB2312" w:eastAsia="仿宋_GB2312" w:cs="仿宋_GB2312"/>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left"/>
        <w:textAlignment w:val="auto"/>
        <w:rPr>
          <w:rFonts w:hint="default" w:ascii="仿宋_GB2312" w:hAnsi="仿宋_GB2312" w:eastAsia="仿宋_GB2312" w:cs="仿宋_GB2312"/>
          <w:b w:val="0"/>
          <w:bCs w:val="0"/>
          <w:color w:val="000000"/>
          <w:kern w:val="0"/>
          <w:sz w:val="32"/>
          <w:szCs w:val="32"/>
          <w:lang w:val="zh-TW" w:eastAsia="zh-CN" w:bidi="ar-SA"/>
        </w:rPr>
      </w:pPr>
      <w:r>
        <w:rPr>
          <w:rFonts w:hint="default" w:ascii="仿宋_GB2312" w:hAnsi="仿宋_GB2312" w:eastAsia="仿宋_GB2312" w:cs="仿宋_GB2312"/>
          <w:b/>
          <w:bCs/>
          <w:color w:val="000000"/>
          <w:sz w:val="32"/>
          <w:szCs w:val="32"/>
          <w:highlight w:val="none"/>
          <w:lang w:val="en-US" w:eastAsia="zh-CN" w:bidi="ar-SA"/>
        </w:rPr>
        <w:t>6.燃气</w:t>
      </w:r>
      <w:r>
        <w:rPr>
          <w:rFonts w:hint="eastAsia" w:ascii="仿宋_GB2312" w:hAnsi="仿宋_GB2312" w:eastAsia="仿宋_GB2312" w:cs="仿宋_GB2312"/>
          <w:b/>
          <w:bCs/>
          <w:color w:val="00000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大力推广使用太阳能、生物质能等清洁能源，鼓励有条件的行政村建设安全可靠的乡村储气罐站和微管网供气系统</w:t>
      </w:r>
      <w:r>
        <w:rPr>
          <w:rFonts w:hint="eastAsia" w:ascii="仿宋_GB2312" w:hAnsi="仿宋_GB2312" w:eastAsia="仿宋_GB2312" w:cs="仿宋_GB2312"/>
          <w:b w:val="0"/>
          <w:bCs w:val="0"/>
          <w:color w:val="000000"/>
          <w:kern w:val="0"/>
          <w:sz w:val="32"/>
          <w:szCs w:val="32"/>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积极推进</w:t>
      </w:r>
      <w:r>
        <w:rPr>
          <w:rFonts w:hint="eastAsia" w:ascii="仿宋_GB2312" w:hAnsi="仿宋_GB2312" w:eastAsia="仿宋_GB2312" w:cs="仿宋_GB2312"/>
          <w:b w:val="0"/>
          <w:bCs w:val="0"/>
          <w:color w:val="000000"/>
          <w:kern w:val="0"/>
          <w:sz w:val="32"/>
          <w:szCs w:val="32"/>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气化乡镇</w:t>
      </w:r>
      <w:r>
        <w:rPr>
          <w:rFonts w:hint="eastAsia" w:ascii="仿宋_GB2312" w:hAnsi="仿宋_GB2312" w:eastAsia="仿宋_GB2312" w:cs="仿宋_GB2312"/>
          <w:b w:val="0"/>
          <w:bCs w:val="0"/>
          <w:color w:val="000000"/>
          <w:kern w:val="0"/>
          <w:sz w:val="32"/>
          <w:szCs w:val="32"/>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进一步提升新型电气化和农村清洁能源供给服务水平。</w:t>
      </w:r>
      <w:r>
        <w:rPr>
          <w:rFonts w:hint="default" w:ascii="仿宋_GB2312" w:hAnsi="仿宋_GB2312" w:eastAsia="仿宋_GB2312" w:cs="仿宋_GB2312"/>
          <w:b w:val="0"/>
          <w:bCs w:val="0"/>
          <w:color w:val="000000"/>
          <w:kern w:val="0"/>
          <w:sz w:val="32"/>
          <w:szCs w:val="32"/>
          <w:lang w:val="zh-TW" w:eastAsia="zh-CN" w:bidi="ar-SA"/>
        </w:rPr>
        <w:t>到202</w:t>
      </w:r>
      <w:r>
        <w:rPr>
          <w:rFonts w:hint="eastAsia" w:ascii="仿宋_GB2312" w:hAnsi="仿宋_GB2312" w:eastAsia="仿宋_GB2312" w:cs="仿宋_GB2312"/>
          <w:b w:val="0"/>
          <w:bCs w:val="0"/>
          <w:color w:val="000000"/>
          <w:kern w:val="0"/>
          <w:sz w:val="32"/>
          <w:szCs w:val="32"/>
          <w:lang w:val="en-US" w:eastAsia="zh-CN" w:bidi="ar-SA"/>
        </w:rPr>
        <w:t>3</w:t>
      </w:r>
      <w:r>
        <w:rPr>
          <w:rFonts w:hint="default" w:ascii="仿宋_GB2312" w:hAnsi="仿宋_GB2312" w:eastAsia="仿宋_GB2312" w:cs="仿宋_GB2312"/>
          <w:b w:val="0"/>
          <w:bCs w:val="0"/>
          <w:color w:val="000000"/>
          <w:kern w:val="0"/>
          <w:sz w:val="32"/>
          <w:szCs w:val="32"/>
          <w:lang w:val="zh-TW" w:eastAsia="zh-CN" w:bidi="ar-SA"/>
        </w:rPr>
        <w:t>年，城市气化率达到70%，</w:t>
      </w:r>
      <w:r>
        <w:rPr>
          <w:rFonts w:hint="eastAsia" w:ascii="仿宋_GB2312" w:hAnsi="仿宋_GB2312" w:eastAsia="仿宋_GB2312" w:cs="仿宋_GB2312"/>
          <w:b w:val="0"/>
          <w:bCs w:val="0"/>
          <w:color w:val="000000"/>
          <w:kern w:val="0"/>
          <w:sz w:val="32"/>
          <w:szCs w:val="32"/>
          <w:lang w:val="zh-TW" w:eastAsia="zh-CN" w:bidi="ar-SA"/>
        </w:rPr>
        <w:t>农村</w:t>
      </w:r>
      <w:r>
        <w:rPr>
          <w:rFonts w:hint="default" w:ascii="仿宋_GB2312" w:hAnsi="仿宋_GB2312" w:eastAsia="仿宋_GB2312" w:cs="仿宋_GB2312"/>
          <w:b w:val="0"/>
          <w:bCs w:val="0"/>
          <w:color w:val="000000"/>
          <w:kern w:val="0"/>
          <w:sz w:val="32"/>
          <w:szCs w:val="32"/>
          <w:lang w:val="zh-TW" w:eastAsia="zh-CN" w:bidi="ar-SA"/>
        </w:rPr>
        <w:t>气化率达到</w:t>
      </w:r>
      <w:r>
        <w:rPr>
          <w:rFonts w:hint="eastAsia" w:ascii="仿宋_GB2312" w:hAnsi="仿宋_GB2312" w:eastAsia="仿宋_GB2312" w:cs="仿宋_GB2312"/>
          <w:b w:val="0"/>
          <w:bCs w:val="0"/>
          <w:color w:val="000000"/>
          <w:kern w:val="0"/>
          <w:sz w:val="32"/>
          <w:szCs w:val="32"/>
          <w:lang w:val="en-US" w:eastAsia="zh-CN" w:bidi="ar-SA"/>
        </w:rPr>
        <w:t>5</w:t>
      </w:r>
      <w:r>
        <w:rPr>
          <w:rFonts w:hint="default" w:ascii="仿宋_GB2312" w:hAnsi="仿宋_GB2312" w:eastAsia="仿宋_GB2312" w:cs="仿宋_GB2312"/>
          <w:b w:val="0"/>
          <w:bCs w:val="0"/>
          <w:color w:val="000000"/>
          <w:kern w:val="0"/>
          <w:sz w:val="32"/>
          <w:szCs w:val="32"/>
          <w:lang w:val="zh-TW" w:eastAsia="zh-CN" w:bidi="ar-SA"/>
        </w:rPr>
        <w:t>0%。</w:t>
      </w:r>
    </w:p>
    <w:p>
      <w:pPr>
        <w:pStyle w:val="14"/>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bCs/>
          <w:color w:val="000000"/>
          <w:sz w:val="32"/>
          <w:szCs w:val="32"/>
          <w:highlight w:val="none"/>
          <w:lang w:val="en-US" w:eastAsia="zh-CN" w:bidi="ar-SA"/>
        </w:rPr>
        <w:t>7.</w:t>
      </w:r>
      <w:r>
        <w:rPr>
          <w:rFonts w:hint="eastAsia" w:ascii="仿宋_GB2312" w:hAnsi="仿宋_GB2312" w:eastAsia="仿宋_GB2312" w:cs="仿宋_GB2312"/>
          <w:b/>
          <w:bCs/>
          <w:color w:val="000000"/>
          <w:sz w:val="32"/>
          <w:szCs w:val="32"/>
          <w:highlight w:val="none"/>
          <w:lang w:val="en-US" w:eastAsia="zh-CN" w:bidi="ar-SA"/>
        </w:rPr>
        <w:t>洗浴。</w:t>
      </w:r>
      <w:r>
        <w:rPr>
          <w:rFonts w:hint="default" w:ascii="仿宋_GB2312" w:hAnsi="仿宋_GB2312" w:eastAsia="仿宋_GB2312" w:cs="仿宋_GB2312"/>
          <w:b w:val="0"/>
          <w:bCs w:val="0"/>
          <w:color w:val="000000"/>
          <w:kern w:val="0"/>
          <w:sz w:val="32"/>
          <w:szCs w:val="32"/>
          <w:lang w:val="en-US" w:eastAsia="zh-CN" w:bidi="ar-SA"/>
        </w:rPr>
        <w:t>鼓励有条件的农户家中建有洗澡间，人口比较集中的中心村有公共浴室</w:t>
      </w:r>
      <w:r>
        <w:rPr>
          <w:rFonts w:hint="eastAsia" w:ascii="仿宋_GB2312" w:hAnsi="仿宋_GB2312" w:eastAsia="仿宋_GB2312" w:cs="仿宋_GB2312"/>
          <w:b w:val="0"/>
          <w:bCs w:val="0"/>
          <w:color w:val="000000"/>
          <w:kern w:val="0"/>
          <w:sz w:val="32"/>
          <w:szCs w:val="32"/>
          <w:lang w:val="en-US" w:eastAsia="zh-CN" w:bidi="ar-SA"/>
        </w:rPr>
        <w:t>。到2023年，50%以上农户家中建有洗澡间，中心村、人口比较集中的村庄建有公共浴室，80%以上村民每月能洗一次热水澡</w:t>
      </w:r>
      <w:r>
        <w:rPr>
          <w:rFonts w:hint="default" w:ascii="仿宋_GB2312" w:hAnsi="仿宋_GB2312" w:eastAsia="仿宋_GB2312" w:cs="仿宋_GB2312"/>
          <w:b w:val="0"/>
          <w:bCs w:val="0"/>
          <w:color w:val="000000"/>
          <w:kern w:val="0"/>
          <w:sz w:val="32"/>
          <w:szCs w:val="32"/>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bCs/>
          <w:color w:val="000000"/>
          <w:sz w:val="32"/>
          <w:szCs w:val="32"/>
          <w:highlight w:val="none"/>
          <w:lang w:val="en-US" w:eastAsia="zh-CN" w:bidi="ar-SA"/>
        </w:rPr>
        <w:t>8.取暖</w:t>
      </w:r>
      <w:r>
        <w:rPr>
          <w:rFonts w:hint="eastAsia" w:ascii="仿宋_GB2312" w:hAnsi="仿宋_GB2312" w:eastAsia="仿宋_GB2312" w:cs="仿宋_GB2312"/>
          <w:b/>
          <w:bCs/>
          <w:color w:val="000000"/>
          <w:sz w:val="32"/>
          <w:szCs w:val="32"/>
          <w:highlight w:val="none"/>
          <w:lang w:val="en-US" w:eastAsia="zh-CN" w:bidi="ar-SA"/>
        </w:rPr>
        <w:t>。</w:t>
      </w:r>
      <w:r>
        <w:rPr>
          <w:rFonts w:hint="default" w:ascii="仿宋_GB2312" w:hAnsi="仿宋_GB2312" w:eastAsia="仿宋_GB2312" w:cs="仿宋_GB2312"/>
          <w:b w:val="0"/>
          <w:bCs w:val="0"/>
          <w:color w:val="000000"/>
          <w:kern w:val="0"/>
          <w:sz w:val="32"/>
          <w:szCs w:val="32"/>
          <w:lang w:val="en-US" w:eastAsia="zh-CN" w:bidi="ar-SA"/>
        </w:rPr>
        <w:t>积极推进煤改电、煤改气和改炕，有条件的村庄纳入城镇统一供暖。有序推进用能结构优化，控制煤炭消费总量，加快天然气等清洁能源替代和煤炭清洁利用，推进冬季清洁取暖改造。</w:t>
      </w:r>
    </w:p>
    <w:p>
      <w:pPr>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bCs/>
          <w:color w:val="000000"/>
          <w:sz w:val="32"/>
          <w:szCs w:val="32"/>
          <w:highlight w:val="none"/>
          <w:lang w:val="en-US" w:eastAsia="zh-CN" w:bidi="ar-SA"/>
        </w:rPr>
        <w:t>9.改厕。</w:t>
      </w:r>
      <w:r>
        <w:rPr>
          <w:rFonts w:hint="default" w:ascii="仿宋_GB2312" w:hAnsi="仿宋_GB2312" w:eastAsia="仿宋_GB2312" w:cs="仿宋_GB2312"/>
          <w:b w:val="0"/>
          <w:bCs w:val="0"/>
          <w:color w:val="000000"/>
          <w:kern w:val="0"/>
          <w:sz w:val="32"/>
          <w:szCs w:val="32"/>
          <w:lang w:val="en-US" w:eastAsia="zh-CN" w:bidi="ar-SA"/>
        </w:rPr>
        <w:t>推进“厕所革命”，突出群众主体，坚持建管并重，</w:t>
      </w:r>
      <w:r>
        <w:rPr>
          <w:rFonts w:hint="eastAsia" w:ascii="仿宋_GB2312" w:hAnsi="仿宋_GB2312" w:eastAsia="仿宋_GB2312" w:cs="仿宋_GB2312"/>
          <w:b w:val="0"/>
          <w:bCs w:val="0"/>
          <w:color w:val="000000"/>
          <w:kern w:val="0"/>
          <w:sz w:val="32"/>
          <w:szCs w:val="32"/>
          <w:lang w:val="zh-CN" w:eastAsia="zh-CN" w:bidi="ar-SA"/>
        </w:rPr>
        <w:t>新建农村户用卫生厕所</w:t>
      </w:r>
      <w:r>
        <w:rPr>
          <w:rFonts w:hint="eastAsia" w:ascii="仿宋_GB2312" w:hAnsi="仿宋_GB2312" w:eastAsia="仿宋_GB2312" w:cs="仿宋_GB2312"/>
          <w:b w:val="0"/>
          <w:bCs w:val="0"/>
          <w:color w:val="000000"/>
          <w:kern w:val="0"/>
          <w:sz w:val="32"/>
          <w:szCs w:val="32"/>
          <w:lang w:val="en-US" w:eastAsia="zh-CN" w:bidi="ar-SA"/>
        </w:rPr>
        <w:t>20</w:t>
      </w:r>
      <w:r>
        <w:rPr>
          <w:rFonts w:hint="eastAsia" w:ascii="仿宋_GB2312" w:hAnsi="仿宋_GB2312" w:eastAsia="仿宋_GB2312" w:cs="仿宋_GB2312"/>
          <w:b w:val="0"/>
          <w:bCs w:val="0"/>
          <w:color w:val="000000"/>
          <w:kern w:val="0"/>
          <w:sz w:val="32"/>
          <w:szCs w:val="32"/>
          <w:lang w:val="zh-CN" w:eastAsia="zh-CN" w:bidi="ar-SA"/>
        </w:rPr>
        <w:t>00</w:t>
      </w:r>
      <w:r>
        <w:rPr>
          <w:rFonts w:hint="eastAsia" w:ascii="仿宋_GB2312" w:hAnsi="仿宋_GB2312" w:eastAsia="仿宋_GB2312" w:cs="仿宋_GB2312"/>
          <w:b w:val="0"/>
          <w:bCs w:val="0"/>
          <w:color w:val="000000"/>
          <w:kern w:val="0"/>
          <w:sz w:val="32"/>
          <w:szCs w:val="32"/>
          <w:lang w:val="en-US" w:eastAsia="zh-CN" w:bidi="ar-SA"/>
        </w:rPr>
        <w:t>0</w:t>
      </w:r>
      <w:r>
        <w:rPr>
          <w:rFonts w:hint="eastAsia" w:ascii="仿宋_GB2312" w:hAnsi="仿宋_GB2312" w:eastAsia="仿宋_GB2312" w:cs="仿宋_GB2312"/>
          <w:b w:val="0"/>
          <w:bCs w:val="0"/>
          <w:color w:val="000000"/>
          <w:kern w:val="0"/>
          <w:sz w:val="32"/>
          <w:szCs w:val="32"/>
          <w:lang w:val="zh-CN" w:eastAsia="zh-CN" w:bidi="ar-SA"/>
        </w:rPr>
        <w:t>座，</w:t>
      </w:r>
      <w:r>
        <w:rPr>
          <w:rFonts w:hint="eastAsia" w:ascii="仿宋_GB2312" w:hAnsi="仿宋_GB2312" w:eastAsia="仿宋_GB2312" w:cs="仿宋_GB2312"/>
          <w:b w:val="0"/>
          <w:bCs w:val="0"/>
          <w:color w:val="000000"/>
          <w:kern w:val="0"/>
          <w:sz w:val="32"/>
          <w:szCs w:val="32"/>
          <w:lang w:val="en-US" w:eastAsia="zh-CN" w:bidi="ar-SA"/>
        </w:rPr>
        <w:t>积极</w:t>
      </w:r>
      <w:r>
        <w:rPr>
          <w:rFonts w:hint="eastAsia" w:ascii="仿宋_GB2312" w:hAnsi="仿宋_GB2312" w:eastAsia="仿宋_GB2312" w:cs="仿宋_GB2312"/>
          <w:b w:val="0"/>
          <w:bCs w:val="0"/>
          <w:color w:val="000000"/>
          <w:kern w:val="0"/>
          <w:sz w:val="32"/>
          <w:szCs w:val="32"/>
          <w:lang w:val="zh-CN" w:eastAsia="zh-CN" w:bidi="ar-SA"/>
        </w:rPr>
        <w:t>开展农村户用厕所改造和建设，</w:t>
      </w:r>
      <w:r>
        <w:rPr>
          <w:rFonts w:hint="eastAsia" w:ascii="仿宋_GB2312" w:hAnsi="仿宋_GB2312" w:eastAsia="仿宋_GB2312" w:cs="仿宋_GB2312"/>
          <w:b w:val="0"/>
          <w:bCs w:val="0"/>
          <w:color w:val="000000"/>
          <w:kern w:val="0"/>
          <w:sz w:val="32"/>
          <w:szCs w:val="32"/>
          <w:lang w:val="en-US" w:eastAsia="zh-CN" w:bidi="ar-SA"/>
        </w:rPr>
        <w:t>坚持因村制宜、分户指导，合理选择改厕模式，</w:t>
      </w:r>
      <w:r>
        <w:rPr>
          <w:rFonts w:hint="eastAsia" w:ascii="仿宋_GB2312" w:hAnsi="仿宋_GB2312" w:eastAsia="仿宋_GB2312" w:cs="仿宋_GB2312"/>
          <w:b w:val="0"/>
          <w:bCs w:val="0"/>
          <w:color w:val="000000"/>
          <w:kern w:val="0"/>
          <w:sz w:val="32"/>
          <w:szCs w:val="32"/>
          <w:lang w:val="zh-CN" w:eastAsia="zh-CN" w:bidi="ar-SA"/>
        </w:rPr>
        <w:t>对于城镇及城郊污水管网覆盖到的村庄和农村新型社区，推广使用水冲式等无害化卫生厕所；群众居住相对集中的村庄，推广使用三格化粪池式、双瓮漏斗式等无害化卫生厕所；偏远、分散居民以卫生旱厕为主。</w:t>
      </w:r>
    </w:p>
    <w:p>
      <w:pPr>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bCs/>
          <w:color w:val="000000"/>
          <w:sz w:val="32"/>
          <w:szCs w:val="32"/>
          <w:highlight w:val="none"/>
          <w:lang w:val="en-US" w:eastAsia="zh-CN" w:bidi="ar-SA"/>
        </w:rPr>
        <w:t>10.保洁。</w:t>
      </w:r>
      <w:r>
        <w:rPr>
          <w:rFonts w:hint="eastAsia" w:ascii="仿宋_GB2312" w:hAnsi="仿宋_GB2312" w:eastAsia="仿宋_GB2312" w:cs="仿宋_GB2312"/>
          <w:b w:val="0"/>
          <w:bCs w:val="0"/>
          <w:color w:val="000000"/>
          <w:kern w:val="0"/>
          <w:sz w:val="32"/>
          <w:szCs w:val="32"/>
          <w:lang w:val="zh-CN" w:eastAsia="zh-CN" w:bidi="ar-SA"/>
        </w:rPr>
        <w:t>加快推进行政村、农家乐、乡村旅游景点卫生公厕建设。购置垃圾装运车，新建垃圾屋，安装垃圾分类箱。常态化开展全域无垃圾专项治理行动和城乡环境综合整治，探索城区、小城镇、中心村、分散居住户等不同情况、不同条件下的垃圾分类模式，加强非正规垃圾堆放点清理整治，开展陈年垃圾清除活动，谋划争取建设乡镇无害化垃圾处理设施（场），加强日常监管和动态清理，确保城乡环境整洁有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仿宋_GB2312" w:hAnsi="仿宋_GB2312" w:eastAsia="仿宋_GB2312" w:cs="仿宋_GB2312"/>
          <w:b w:val="0"/>
          <w:bCs w:val="0"/>
          <w:color w:val="000000"/>
          <w:kern w:val="0"/>
          <w:sz w:val="32"/>
          <w:szCs w:val="32"/>
          <w:lang w:val="zh-CN" w:eastAsia="zh-CN" w:bidi="ar-SA"/>
        </w:rPr>
      </w:pPr>
      <w:r>
        <w:rPr>
          <w:rFonts w:hint="default" w:ascii="仿宋_GB2312" w:hAnsi="仿宋_GB2312" w:eastAsia="仿宋_GB2312" w:cs="仿宋_GB2312"/>
          <w:b/>
          <w:bCs/>
          <w:color w:val="000000"/>
          <w:sz w:val="32"/>
          <w:szCs w:val="32"/>
          <w:highlight w:val="none"/>
          <w:lang w:val="en-US" w:eastAsia="zh-CN" w:bidi="ar-SA"/>
        </w:rPr>
        <w:t>11.绿化。</w:t>
      </w:r>
      <w:r>
        <w:rPr>
          <w:rFonts w:hint="default" w:ascii="仿宋_GB2312" w:hAnsi="仿宋_GB2312" w:eastAsia="仿宋_GB2312" w:cs="仿宋_GB2312"/>
          <w:b w:val="0"/>
          <w:bCs w:val="0"/>
          <w:color w:val="000000"/>
          <w:kern w:val="0"/>
          <w:sz w:val="32"/>
          <w:szCs w:val="32"/>
          <w:lang w:val="zh-CN" w:eastAsia="zh-CN" w:bidi="ar-SA"/>
        </w:rPr>
        <w:t>巩固退牧还草、退耕还林成果，实施“一村万树”工程，组织对</w:t>
      </w:r>
      <w:r>
        <w:rPr>
          <w:rFonts w:hint="default" w:ascii="仿宋_GB2312" w:hAnsi="仿宋_GB2312" w:eastAsia="仿宋_GB2312" w:cs="仿宋_GB2312"/>
          <w:b w:val="0"/>
          <w:bCs w:val="0"/>
          <w:color w:val="000000"/>
          <w:kern w:val="0"/>
          <w:sz w:val="32"/>
          <w:szCs w:val="32"/>
          <w:lang w:val="en-US" w:eastAsia="zh-CN" w:bidi="ar-SA"/>
        </w:rPr>
        <w:t>19个村</w:t>
      </w:r>
      <w:r>
        <w:rPr>
          <w:rFonts w:hint="default" w:ascii="仿宋_GB2312" w:hAnsi="仿宋_GB2312" w:eastAsia="仿宋_GB2312" w:cs="仿宋_GB2312"/>
          <w:b w:val="0"/>
          <w:bCs w:val="0"/>
          <w:color w:val="000000"/>
          <w:kern w:val="0"/>
          <w:sz w:val="32"/>
          <w:szCs w:val="32"/>
          <w:lang w:val="zh-CN" w:eastAsia="zh-CN" w:bidi="ar-SA"/>
        </w:rPr>
        <w:t>边角地、废弃地、荒山地、庭院地应绿尽绿、能绿尽绿。</w:t>
      </w:r>
      <w:r>
        <w:rPr>
          <w:rFonts w:hint="default" w:ascii="仿宋_GB2312" w:hAnsi="仿宋_GB2312" w:eastAsia="仿宋_GB2312" w:cs="仿宋_GB2312"/>
          <w:b w:val="0"/>
          <w:bCs w:val="0"/>
          <w:color w:val="000000"/>
          <w:kern w:val="0"/>
          <w:sz w:val="32"/>
          <w:szCs w:val="32"/>
          <w:lang w:val="en-US" w:eastAsia="zh-CN" w:bidi="ar-SA"/>
        </w:rPr>
        <w:t>开展村庄绿化行动，不断提高废旧农膜回收利用率和畜禽粪便、农作物秸秆资源化利用率，减少农业生产和农民生活对村庄生态环境的影响，持续改善村庄生态环境，促进人与自然和谐发展。</w:t>
      </w:r>
      <w:r>
        <w:rPr>
          <w:rFonts w:hint="eastAsia" w:ascii="仿宋_GB2312" w:hAnsi="仿宋_GB2312" w:eastAsia="仿宋_GB2312" w:cs="仿宋_GB2312"/>
          <w:b w:val="0"/>
          <w:bCs w:val="0"/>
          <w:color w:val="000000"/>
          <w:kern w:val="0"/>
          <w:sz w:val="32"/>
          <w:szCs w:val="32"/>
          <w:lang w:val="zh-CN" w:eastAsia="zh-CN" w:bidi="ar-SA"/>
        </w:rPr>
        <w:t>全面实施村庄绿化亮化，充分利用房前屋后、河塘沟渠、道路两侧闲置土地提高绿化覆盖率，鼓励采用节能环保的公共照明设施。突出重点集镇、交通沿线、旅游景区等重点区域，加快推进“环境整洁示范村”创建。</w:t>
      </w:r>
    </w:p>
    <w:p>
      <w:pPr>
        <w:pStyle w:val="16"/>
        <w:keepNext w:val="0"/>
        <w:keepLines w:val="0"/>
        <w:pageBreakBefore w:val="0"/>
        <w:widowControl w:val="0"/>
        <w:numPr>
          <w:ilvl w:val="0"/>
          <w:numId w:val="0"/>
        </w:numPr>
        <w:shd w:val="clear" w:color="auto" w:fill="auto"/>
        <w:tabs>
          <w:tab w:val="left" w:pos="1165"/>
        </w:tabs>
        <w:kinsoku/>
        <w:wordWrap/>
        <w:overflowPunct/>
        <w:topLinePunct w:val="0"/>
        <w:autoSpaceDE/>
        <w:autoSpaceDN/>
        <w:bidi w:val="0"/>
        <w:spacing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sz w:val="32"/>
          <w:szCs w:val="32"/>
          <w:highlight w:val="none"/>
          <w:u w:val="none"/>
          <w:shd w:val="clear" w:color="auto" w:fill="auto"/>
          <w:lang w:val="en-US" w:eastAsia="zh-CN" w:bidi="ar-SA"/>
        </w:rPr>
        <w:t>12.管护。</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在全</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现有生态护林员、乡村公益性岗位的基础上，根据实际需求逐年新增。深入开展公益性设施共管共享工作，逐步建立</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“有</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制度、有标准、有队伍、有经费、有督查”的长效管护机制，</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乡村</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长期干净整洁有序。</w:t>
      </w:r>
    </w:p>
    <w:p>
      <w:pPr>
        <w:pStyle w:val="14"/>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eastAsia" w:ascii="楷体_GB2312" w:hAnsi="楷体_GB2312" w:eastAsia="楷体_GB2312" w:cs="楷体_GB2312"/>
          <w:b/>
          <w:bCs/>
          <w:color w:val="auto"/>
          <w:sz w:val="32"/>
          <w:szCs w:val="32"/>
          <w:highlight w:val="none"/>
          <w:lang w:val="en-US" w:eastAsia="zh-CN"/>
        </w:rPr>
        <w:t>（四）基本公共服务。</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提升公共服务总体水平，镇村建有满足需求的中小学和幼儿园，建有功能完善的综合性文化服务中心，村内群众性文体活动正常开展，建有标准化卫生室，医疗设施设备配备齐全。城乡居民基本养老保险待遇发放率100%，建有居家养老或福利养老院、老年人日间照料中心等老年活动场所并正常运行，建有具备办公议事、活动组织、教育宣传、文体娱乐、金融服务等功能的村级综合服务场所。</w:t>
      </w:r>
    </w:p>
    <w:p>
      <w:pPr>
        <w:pStyle w:val="14"/>
        <w:keepNext w:val="0"/>
        <w:keepLines w:val="0"/>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1.基础教育。</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规范发展学前教育，提高保教质量。加快学前教育优质普惠发展，强化公办幼儿园建设，不断扩大学前教育资源供给，完善政府主导、社会参与、公办民办并举的办园体制。将幼儿园建设纳入</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乡村</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建设总体规划，积极推进西坡</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、湫头</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等幼儿园供暖改造项目</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残疾儿童、进城务工人员随迁子女就学得到充分保障，义务教育阶段留守儿童关爱体制全面建立，教育资助和保障体系覆盖所有困难群体。到202</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3</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年，全县学前三年毛入园率达到93%以上。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2.文化体育。</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加快县乡村三级公共文化基础设施建设，以县博物馆、图书馆、文化馆、影剧院为基础，推进公共文化数字化。巩固基层文化阵地，完善升级以乡镇综合文化站、村文化活动室、农家书屋及文化院为重点的文化阵地，加快补齐综合文体活动中心和文化广场短板。以社会主义核心价值观为引领，组织开展好</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欢乐城乡·魅力正宁</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、全民阅读等系列群众性文化活动，不断丰富群众文化生活。实施文艺精品创作工程和文化提升工程</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加快县乡村三级公共体育设施网络建设，积极推进</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三馆一场</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、体育惠民工程等项目，实现农民体育健身工程向自然村覆盖。举办</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全民健身日</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老年体育节</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的各项健身活动，推进健身场所与设施免费或低收费开放</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p>
    <w:p>
      <w:pPr>
        <w:pStyle w:val="16"/>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spacing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3.医疗卫生。</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全面建立系统完善的分级诊疗制度，形成基层首诊、双向转诊、上下联动、急慢分治的合理就医秩序，健全治疗—康复—长期护理服务链。建立以优质资源下沉为方向的新型医疗服务体系和医疗、医药、医保</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三医</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联动机制。深化支付方式改革，建立完善适应不同人群、疾病、服务特点的多元复合支付方式。支持社会办医，推广远程医疗，建成多功能的</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全民健康保障信息服务平台</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推行行政、业务、人员、药械、财务、绩效考核乡村一体化管理机制，充分调动村医工作积极性，推动卫生公共资源向基层延伸、向乡村覆盖、向生活困难群众倾斜，不断满足农村居民基本医疗卫生和城乡居民全周期、多样化、多层次健康需求。完善重大疫情防控体制机制，坚持预防为主，健全公共卫生应急管理体系，逐步提升县医院、中医院及疾控中心传染病防治水平，切实提高应对和处置突发公共卫生事件能力。</w:t>
      </w:r>
    </w:p>
    <w:p>
      <w:pPr>
        <w:pStyle w:val="14"/>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4.社会保障。</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实</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施全民参保计划，持续推进基本医疗和基本养老保险法定参保对象全覆盖</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全面实施城乡居民大病保险制度，加快建成以基本医疗保险为主体，医疗救助为托底的可持续的一体化医疗保障体系。完善失业、工伤保险制度，继续全面推进生育保险和职工基本医疗保险合并实施。健全重大疾病医疗保险和救助制度，积极发展商业医疗保险。健全以最低生活保障为基础、专项救助相配套、临时救助为补充的分层分类、城乡统筹的社会救助体系。逐步提高低保、特困人员供养标准和补助水平，完善医疗救助制度，加大临时救助力度；有效发挥兜底保障功能，建立县乡村三级社会托底救助体系。完善以扶老、助残、爱幼、济困为重点的社会福利制度。关爱弱势群体，稳步提高城乡低保、农村五保、城镇三无、特困供养人员、失独家庭等困难人口和特殊群体福利水平；支持慈善公益组织，建立适度普惠型儿童福利制度。全面加强退役军人思想政治建设和权益维护工作，健全完善退役军人服务保障体系</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健全残疾人权益保障制度，全面实施困难残疾人生活补贴制度和重度残疾人护理补贴制度，提高残疾人社会保障水平和公共服务能力。支持残疾人事业发展，鼓励社会力量提供服务。</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 xml:space="preserve">   </w:t>
      </w:r>
    </w:p>
    <w:p>
      <w:pPr>
        <w:pStyle w:val="14"/>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5.培训就业。</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支持和规范发展新就业形态，促进市场化社会化就业。统筹城乡就业政策体系，不断扩大城乡就业规模。健全就业需求调查和失业监测预警机制，密切监测全县劳务输出重点地区、重点企业的岗位和用工变化。充分发挥小微企业吸纳就业的主渠道作用，通过发展多种新业态新模式实现自主就业。积极加强东西部劳务对接协作，持续稳定长三角、珠三角地区劳动力输转规模，加大向天津、陕西等省份的组织化输转力度，加快用工信息归集和发布，加强输出地和输入地劳务信息对接，引导劳动者有序求职就业。扩大公益性岗位安置，帮扶残疾人、零就业家庭等困难群体稳定就业，拓宽包括零工在内的灵活就业渠道。不断强化职业培训和公共就业创业服务，资助以训稳岗，对失业人员技能培训进行扶持。力争职业技能培训达到1.1万人，重点扶持1—2所民办培训机构。</w:t>
      </w:r>
    </w:p>
    <w:p>
      <w:pPr>
        <w:pStyle w:val="16"/>
        <w:keepNext w:val="0"/>
        <w:keepLines w:val="0"/>
        <w:pageBreakBefore w:val="0"/>
        <w:widowControl w:val="0"/>
        <w:numPr>
          <w:ilvl w:val="0"/>
          <w:numId w:val="0"/>
        </w:numPr>
        <w:shd w:val="clear" w:color="auto" w:fill="auto"/>
        <w:tabs>
          <w:tab w:val="left" w:pos="1000"/>
        </w:tabs>
        <w:kinsoku/>
        <w:wordWrap/>
        <w:overflowPunct/>
        <w:topLinePunct w:val="0"/>
        <w:autoSpaceDE/>
        <w:autoSpaceDN/>
        <w:bidi w:val="0"/>
        <w:spacing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6.综合服务。</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建成具备办公议事、活动组织、教育宣传、 文体娱乐、金融服务等功能的村级综合服务场所，提供为民办事全程代理服务</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，不断提升村级办公服务能力，使村民办事更加快捷、方便</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w:t>
      </w:r>
    </w:p>
    <w:p>
      <w:pPr>
        <w:pStyle w:val="16"/>
        <w:keepNext w:val="0"/>
        <w:keepLines w:val="0"/>
        <w:pageBreakBefore w:val="0"/>
        <w:widowControl w:val="0"/>
        <w:shd w:val="clear" w:color="auto" w:fill="auto"/>
        <w:kinsoku/>
        <w:wordWrap/>
        <w:overflowPunct/>
        <w:topLinePunct w:val="0"/>
        <w:autoSpaceDE/>
        <w:autoSpaceDN/>
        <w:bidi w:val="0"/>
        <w:spacing w:line="600" w:lineRule="exact"/>
        <w:ind w:left="0" w:leftChars="0" w:right="0" w:firstLine="643" w:firstLineChars="200"/>
        <w:jc w:val="both"/>
        <w:textAlignment w:val="auto"/>
        <w:rPr>
          <w:rFonts w:hint="eastAsia" w:ascii="楷体_GB2312" w:hAnsi="楷体_GB2312" w:eastAsia="楷体_GB2312" w:cs="楷体_GB2312"/>
          <w:b/>
          <w:bCs/>
          <w:color w:val="auto"/>
          <w:spacing w:val="0"/>
          <w:w w:val="100"/>
          <w:position w:val="0"/>
          <w:sz w:val="32"/>
          <w:szCs w:val="32"/>
          <w:highlight w:val="none"/>
          <w:lang w:val="en-US" w:eastAsia="zh-CN"/>
        </w:rPr>
      </w:pPr>
      <w:r>
        <w:rPr>
          <w:rFonts w:hint="eastAsia" w:ascii="楷体_GB2312" w:hAnsi="楷体_GB2312" w:eastAsia="楷体_GB2312" w:cs="楷体_GB2312"/>
          <w:b/>
          <w:bCs/>
          <w:color w:val="auto"/>
          <w:spacing w:val="0"/>
          <w:w w:val="100"/>
          <w:position w:val="0"/>
          <w:sz w:val="32"/>
          <w:szCs w:val="32"/>
          <w:highlight w:val="none"/>
          <w:lang w:val="en-US" w:eastAsia="zh-CN"/>
        </w:rPr>
        <w:t>（五）乡村治理和精神文明建设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1.宣传引导。</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依托新时代文明实践中心（所、站），充分发挥基层宣传阵地作用，运用新媒体、农家书屋、村文化活动中心等各类教育阵地，从扩大正面宣传教育入手，大力宣传党的路线、方针、政策和农村常用法律法规，移风易俗新风尚，着力营造婚事新办、丧事简办的社会氛围。组织开展中国特色社会主义和中国梦、社会主义核 心价值观、民族精神和时代精神、法治、形势政策等宣传教育，村民知法懂法、守法用法，爱国爱家、崇德向善，精神面貌好， 农村文明程度明显提升。深化拓展新时代文明实践中心建设，大力推行村规民约，引导群众破除陈规陋习，杜绝失学辍学，营造尊师重教浓厚氛围，开展感恩教育，自力更生，勤劳致富，促进乡风文明。建立健全红白理事会、道德评议会、村民议事会、禁毒禁赌会，并切实发挥其作用，深入推进移风易俗工作，实现文化振兴。加大乡村振兴战略的宣传力度，把乡村振兴战略的重大意义、基本内容、具体措施等通过多种方式向农民宣传到位，增强农民群众参与农村建设的积极性和主动性。实施公民道德建设工程，广泛开展星级文明户、文明家庭等创建活动，传承和弘扬优秀家风家训，以良好家风引领农村社会风尚，加强群众思想道德建设，大力弘扬传统美德。</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bookmarkStart w:id="0" w:name="bookmark26"/>
      <w:bookmarkEnd w:id="0"/>
      <w:r>
        <w:rPr>
          <w:rFonts w:hint="default" w:ascii="仿宋_GB2312" w:hAnsi="仿宋_GB2312" w:eastAsia="仿宋_GB2312" w:cs="仿宋_GB2312"/>
          <w:b/>
          <w:bCs/>
          <w:color w:val="000000"/>
          <w:kern w:val="0"/>
          <w:sz w:val="32"/>
          <w:szCs w:val="32"/>
          <w:u w:val="none"/>
          <w:shd w:val="clear" w:color="auto" w:fill="auto"/>
          <w:lang w:val="en-US" w:eastAsia="zh-CN" w:bidi="ar-SA"/>
        </w:rPr>
        <w:t>2.纠纷调解。</w:t>
      </w:r>
      <w:bookmarkStart w:id="1" w:name="bookmark27"/>
      <w:bookmarkEnd w:id="1"/>
      <w:r>
        <w:rPr>
          <w:rFonts w:hint="default" w:ascii="仿宋_GB2312" w:hAnsi="仿宋_GB2312" w:eastAsia="仿宋_GB2312" w:cs="仿宋_GB2312"/>
          <w:b w:val="0"/>
          <w:bCs w:val="0"/>
          <w:color w:val="000000"/>
          <w:kern w:val="0"/>
          <w:sz w:val="32"/>
          <w:szCs w:val="32"/>
          <w:u w:val="none"/>
          <w:shd w:val="clear" w:color="auto" w:fill="auto"/>
          <w:lang w:val="en-US" w:eastAsia="zh-CN" w:bidi="ar-SA"/>
        </w:rPr>
        <w:t>全面推行源头防控、排查梳理、纠纷化解、应急处置的矛盾纠纷综合化解机制，畅通和规范群众诉求表达、利益协调、权益保障渠道，完善信访制度</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完善重大决策社会稳定风险评估机制</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，将矛盾扼杀在“萌芽”状态，</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涉众矛盾纠纷、民间违规借贷、社会领域突出问题、重大项目遗留问题等风险隐患有效化解，矛盾纠纷预警排查、多元化解、综合治理机制和重大决策社会稳定风险评估制度不断完善，防范化解重大风险体制机制更加健全。</w:t>
      </w:r>
    </w:p>
    <w:p>
      <w:pPr>
        <w:pStyle w:val="16"/>
        <w:keepNext w:val="0"/>
        <w:keepLines w:val="0"/>
        <w:pageBreakBefore w:val="0"/>
        <w:widowControl w:val="0"/>
        <w:numPr>
          <w:ilvl w:val="0"/>
          <w:numId w:val="0"/>
        </w:numPr>
        <w:shd w:val="clear" w:color="auto" w:fill="auto"/>
        <w:tabs>
          <w:tab w:val="left" w:pos="1000"/>
        </w:tabs>
        <w:kinsoku/>
        <w:wordWrap/>
        <w:overflowPunct/>
        <w:topLinePunct w:val="0"/>
        <w:autoSpaceDE/>
        <w:autoSpaceDN/>
        <w:bidi w:val="0"/>
        <w:spacing w:line="600" w:lineRule="exact"/>
        <w:ind w:left="0" w:leftChars="0" w:right="0" w:rightChars="0" w:firstLine="643" w:firstLineChars="200"/>
        <w:jc w:val="left"/>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3.权益维护。</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建立完善村民自治机制，规范议事协商，村务公开透明，农民权利和惠民政策落实得到保障，村内风正气顺，没有群体性事件，</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形成</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村民对两委会班子满意率高</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、信任度高的局面</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bookmarkStart w:id="2" w:name="bookmark28"/>
      <w:bookmarkEnd w:id="2"/>
      <w:r>
        <w:rPr>
          <w:rFonts w:hint="default" w:ascii="仿宋_GB2312" w:hAnsi="仿宋_GB2312" w:eastAsia="仿宋_GB2312" w:cs="仿宋_GB2312"/>
          <w:b/>
          <w:bCs/>
          <w:color w:val="000000"/>
          <w:kern w:val="0"/>
          <w:sz w:val="32"/>
          <w:szCs w:val="32"/>
          <w:u w:val="none"/>
          <w:shd w:val="clear" w:color="auto" w:fill="auto"/>
          <w:lang w:val="en-US" w:eastAsia="zh-CN" w:bidi="ar-SA"/>
        </w:rPr>
        <w:t>4.安全保障。</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完善安全风险管控和隐患排查治理机制</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严格落实安全生产责任制</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加强安全生产监管执法，深化道路交通、建筑施工、非煤矿山、危险化学品、食品药品、校园等重点领域专项治理，严防发生重、特大安全事故。加强</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智慧交管</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建设。建立最严格的覆盖全过程的食品药品监管制度，严守食品、药品、特种设备、产（商）品质量</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四大安全底线</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，巩固省级食品安全示范城市成果，提高食品药品安全保障水平。坚持专群结合、群防群治，加强社会治安防控体系建设，提升</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雪亮工程</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、推广</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心灯工程</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，提高社会治安立体化、法治化、专业化、智能化水平。深入开展平安创建活动，常态化推进扫黑除恶斗争，坚决防范和严厉打击各种违法犯罪活动，巩固社会和谐稳定局面。</w:t>
      </w:r>
    </w:p>
    <w:p>
      <w:pPr>
        <w:pStyle w:val="16"/>
        <w:keepNext w:val="0"/>
        <w:keepLines w:val="0"/>
        <w:pageBreakBefore w:val="0"/>
        <w:widowControl w:val="0"/>
        <w:numPr>
          <w:ilvl w:val="0"/>
          <w:numId w:val="0"/>
        </w:numPr>
        <w:shd w:val="clear" w:color="auto" w:fill="auto"/>
        <w:kinsoku/>
        <w:wordWrap/>
        <w:overflowPunct/>
        <w:topLinePunct w:val="0"/>
        <w:autoSpaceDE/>
        <w:autoSpaceDN/>
        <w:bidi w:val="0"/>
        <w:spacing w:line="600" w:lineRule="exact"/>
        <w:ind w:left="0" w:leftChars="0" w:right="0" w:rightChars="0" w:firstLine="643" w:firstLineChars="200"/>
        <w:jc w:val="left"/>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bookmarkStart w:id="3" w:name="bookmark29"/>
      <w:bookmarkEnd w:id="3"/>
      <w:r>
        <w:rPr>
          <w:rFonts w:hint="default" w:ascii="仿宋_GB2312" w:hAnsi="仿宋_GB2312" w:eastAsia="仿宋_GB2312" w:cs="仿宋_GB2312"/>
          <w:b/>
          <w:bCs/>
          <w:color w:val="000000"/>
          <w:kern w:val="0"/>
          <w:sz w:val="32"/>
          <w:szCs w:val="32"/>
          <w:u w:val="none"/>
          <w:shd w:val="clear" w:color="auto" w:fill="auto"/>
          <w:lang w:val="en-US" w:eastAsia="zh-CN" w:bidi="ar-SA"/>
        </w:rPr>
        <w:t>5.</w:t>
      </w:r>
      <w:r>
        <w:rPr>
          <w:rFonts w:hint="default" w:ascii="仿宋_GB2312" w:hAnsi="仿宋_GB2312" w:eastAsia="仿宋_GB2312" w:cs="仿宋_GB2312"/>
          <w:b/>
          <w:bCs/>
          <w:color w:val="000000"/>
          <w:kern w:val="0"/>
          <w:sz w:val="32"/>
          <w:szCs w:val="32"/>
          <w:u w:val="none"/>
          <w:shd w:val="clear" w:color="auto" w:fill="auto"/>
          <w:lang w:val="zh-CN" w:eastAsia="zh-CN" w:bidi="ar-SA"/>
        </w:rPr>
        <w:t>村民</w:t>
      </w:r>
      <w:r>
        <w:rPr>
          <w:rFonts w:hint="default" w:ascii="仿宋_GB2312" w:hAnsi="仿宋_GB2312" w:eastAsia="仿宋_GB2312" w:cs="仿宋_GB2312"/>
          <w:b/>
          <w:bCs/>
          <w:color w:val="000000"/>
          <w:kern w:val="0"/>
          <w:sz w:val="32"/>
          <w:szCs w:val="32"/>
          <w:u w:val="none"/>
          <w:shd w:val="clear" w:color="auto" w:fill="auto"/>
          <w:lang w:val="en-US" w:eastAsia="zh-CN" w:bidi="ar-SA"/>
        </w:rPr>
        <w:t>自治。</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修订完善村规民约，充分发挥红白理事会、 道德评议会、村民议事会等群众自治组织作用，引导村民移风易俗，抵制陈规陋习，建立</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“民风</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朴实、文明和谐，崇尚科学、反对迷信，明礼诚信、尊老爱幼，勤劳节俭、奉献社会”的乡风民俗。大力弘扬和践行社会主义核心价值观，深入推进乡村治理。坚持以自治、法治、德治“三治融合”为突破口，推进党建功能化、村务多元化、网格信息化。</w:t>
      </w:r>
    </w:p>
    <w:p>
      <w:pPr>
        <w:pStyle w:val="16"/>
        <w:keepNext w:val="0"/>
        <w:keepLines w:val="0"/>
        <w:pageBreakBefore w:val="0"/>
        <w:widowControl w:val="0"/>
        <w:shd w:val="clear" w:color="auto" w:fill="auto"/>
        <w:kinsoku/>
        <w:wordWrap/>
        <w:overflowPunct/>
        <w:topLinePunct w:val="0"/>
        <w:autoSpaceDE/>
        <w:autoSpaceDN/>
        <w:bidi w:val="0"/>
        <w:spacing w:line="64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pacing w:val="0"/>
          <w:w w:val="100"/>
          <w:position w:val="0"/>
          <w:sz w:val="32"/>
          <w:szCs w:val="32"/>
          <w:highlight w:val="none"/>
          <w:lang w:eastAsia="zh-CN"/>
        </w:rPr>
        <w:t>六</w:t>
      </w:r>
      <w:r>
        <w:rPr>
          <w:rFonts w:hint="default" w:ascii="Times New Roman" w:hAnsi="Times New Roman" w:eastAsia="黑体" w:cs="Times New Roman"/>
          <w:b w:val="0"/>
          <w:bCs w:val="0"/>
          <w:color w:val="auto"/>
          <w:spacing w:val="0"/>
          <w:w w:val="100"/>
          <w:position w:val="0"/>
          <w:sz w:val="32"/>
          <w:szCs w:val="32"/>
          <w:highlight w:val="none"/>
        </w:rPr>
        <w:t>、实施步骤</w:t>
      </w:r>
    </w:p>
    <w:p>
      <w:pPr>
        <w:pStyle w:val="16"/>
        <w:keepNext w:val="0"/>
        <w:keepLines w:val="0"/>
        <w:pageBreakBefore w:val="0"/>
        <w:widowControl w:val="0"/>
        <w:shd w:val="clear" w:color="auto" w:fill="auto"/>
        <w:tabs>
          <w:tab w:val="left" w:pos="1466"/>
        </w:tabs>
        <w:kinsoku/>
        <w:wordWrap/>
        <w:overflowPunct/>
        <w:topLinePunct w:val="0"/>
        <w:autoSpaceDE/>
        <w:autoSpaceDN/>
        <w:bidi w:val="0"/>
        <w:adjustRightInd w:val="0"/>
        <w:snapToGrid w:val="0"/>
        <w:spacing w:line="640" w:lineRule="exact"/>
        <w:ind w:left="0" w:leftChars="0" w:right="0" w:firstLine="643" w:firstLineChars="200"/>
        <w:jc w:val="both"/>
        <w:textAlignment w:val="auto"/>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bookmarkStart w:id="4" w:name="bookmark30"/>
      <w:r>
        <w:rPr>
          <w:rFonts w:hint="default" w:ascii="仿宋_GB2312" w:hAnsi="仿宋_GB2312" w:eastAsia="仿宋_GB2312" w:cs="仿宋_GB2312"/>
          <w:b/>
          <w:bCs/>
          <w:color w:val="000000"/>
          <w:kern w:val="0"/>
          <w:sz w:val="32"/>
          <w:szCs w:val="32"/>
          <w:u w:val="none"/>
          <w:shd w:val="clear" w:color="auto" w:fill="auto"/>
          <w:lang w:val="en-US" w:eastAsia="zh-CN" w:bidi="ar-SA"/>
        </w:rPr>
        <w:t>（</w:t>
      </w:r>
      <w:bookmarkEnd w:id="4"/>
      <w:r>
        <w:rPr>
          <w:rFonts w:hint="default" w:ascii="仿宋_GB2312" w:hAnsi="仿宋_GB2312" w:eastAsia="仿宋_GB2312" w:cs="仿宋_GB2312"/>
          <w:b/>
          <w:bCs/>
          <w:color w:val="000000"/>
          <w:kern w:val="0"/>
          <w:sz w:val="32"/>
          <w:szCs w:val="32"/>
          <w:u w:val="none"/>
          <w:shd w:val="clear" w:color="auto" w:fill="auto"/>
          <w:lang w:val="en-US" w:eastAsia="zh-CN" w:bidi="ar-SA"/>
        </w:rPr>
        <w:t>一）</w:t>
      </w:r>
      <w:r>
        <w:rPr>
          <w:rFonts w:hint="eastAsia" w:ascii="仿宋_GB2312" w:hAnsi="仿宋_GB2312" w:eastAsia="仿宋_GB2312" w:cs="仿宋_GB2312"/>
          <w:b/>
          <w:bCs/>
          <w:color w:val="000000"/>
          <w:kern w:val="0"/>
          <w:sz w:val="32"/>
          <w:szCs w:val="32"/>
          <w:u w:val="none"/>
          <w:shd w:val="clear" w:color="auto" w:fill="auto"/>
          <w:lang w:val="en-US" w:eastAsia="zh-CN" w:bidi="ar-SA"/>
        </w:rPr>
        <w:t>安排部署</w:t>
      </w:r>
      <w:r>
        <w:rPr>
          <w:rFonts w:hint="default" w:ascii="仿宋_GB2312" w:hAnsi="仿宋_GB2312" w:eastAsia="仿宋_GB2312" w:cs="仿宋_GB2312"/>
          <w:b/>
          <w:bCs/>
          <w:color w:val="000000"/>
          <w:kern w:val="0"/>
          <w:sz w:val="32"/>
          <w:szCs w:val="32"/>
          <w:u w:val="none"/>
          <w:shd w:val="clear" w:color="auto" w:fill="auto"/>
          <w:lang w:val="en-US" w:eastAsia="zh-CN" w:bidi="ar-SA"/>
        </w:rPr>
        <w:t>。</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县委农村工作领导小组（县实施乡村振兴战略领导小组）办公室、县乡村振兴局负责制定乡村建设示范县实施方案，西坡镇负责制定乡村建设市级示范乡镇实施方案，山河镇负责制定乡村建设县级示范乡镇实施方案，第一轮率先创建的23个示范村，要结合各村实际，按照</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示范创建目标任务、年度计划、重点内容、实施步骤、保障措施</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逐村制定具体实施方案，</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部署推进乡村建设示范行动。</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市级、县级示范乡镇、各县级示范村2021年9月完成具体</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工作方案</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。剩余乡镇、行政村待第二轮创建工作启动后制定相应实施方案。</w:t>
      </w:r>
    </w:p>
    <w:p>
      <w:pPr>
        <w:pStyle w:val="16"/>
        <w:keepNext w:val="0"/>
        <w:keepLines w:val="0"/>
        <w:pageBreakBefore w:val="0"/>
        <w:widowControl w:val="0"/>
        <w:shd w:val="clear" w:color="auto" w:fill="auto"/>
        <w:tabs>
          <w:tab w:val="left" w:pos="1466"/>
        </w:tabs>
        <w:kinsoku/>
        <w:wordWrap/>
        <w:overflowPunct/>
        <w:topLinePunct w:val="0"/>
        <w:autoSpaceDE/>
        <w:autoSpaceDN/>
        <w:bidi w:val="0"/>
        <w:adjustRightInd w:val="0"/>
        <w:snapToGrid w:val="0"/>
        <w:spacing w:line="640" w:lineRule="exact"/>
        <w:ind w:left="0" w:leftChars="0" w:right="0" w:firstLine="643" w:firstLineChars="200"/>
        <w:jc w:val="both"/>
        <w:textAlignment w:val="auto"/>
        <w:rPr>
          <w:rFonts w:hint="default"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仿宋_GB2312" w:hAnsi="仿宋_GB2312" w:eastAsia="仿宋_GB2312" w:cs="仿宋_GB2312"/>
          <w:b/>
          <w:bCs/>
          <w:color w:val="000000"/>
          <w:kern w:val="0"/>
          <w:sz w:val="32"/>
          <w:szCs w:val="32"/>
          <w:u w:val="none"/>
          <w:shd w:val="clear" w:color="auto" w:fill="auto"/>
          <w:lang w:val="en-US" w:eastAsia="zh-CN" w:bidi="ar-SA"/>
        </w:rPr>
        <w:t>（二）组织实施。</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2021年确定23个村创建乡村建设示范村，到2021年底完成创建工作，2022年启动第二轮23个村乡村建设示范村创建工作，到2023年完成全县所有94个村的乡村建设示范村创建工作。县乡村振兴局、示范乡镇、各示范村</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要充分利用有效的建设期，扎实推进村庄规划编制、公共基础设施建设、基本公共服务完善提升、乡村治理和精神文明建设等各项工作，确保按期高质量完成创建任务。</w:t>
      </w:r>
    </w:p>
    <w:p>
      <w:pPr>
        <w:pStyle w:val="16"/>
        <w:keepNext w:val="0"/>
        <w:keepLines w:val="0"/>
        <w:pageBreakBefore w:val="0"/>
        <w:widowControl w:val="0"/>
        <w:shd w:val="clear" w:color="auto" w:fill="auto"/>
        <w:tabs>
          <w:tab w:val="left" w:pos="1466"/>
        </w:tabs>
        <w:kinsoku/>
        <w:wordWrap/>
        <w:overflowPunct/>
        <w:topLinePunct w:val="0"/>
        <w:autoSpaceDE/>
        <w:autoSpaceDN/>
        <w:bidi w:val="0"/>
        <w:adjustRightInd w:val="0"/>
        <w:snapToGrid w:val="0"/>
        <w:spacing w:line="640" w:lineRule="exact"/>
        <w:ind w:left="0" w:leftChars="0" w:right="0" w:firstLine="643" w:firstLineChars="200"/>
        <w:jc w:val="both"/>
        <w:textAlignment w:val="auto"/>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bookmarkStart w:id="5" w:name="bookmark32"/>
      <w:r>
        <w:rPr>
          <w:rFonts w:hint="default" w:ascii="仿宋_GB2312" w:hAnsi="仿宋_GB2312" w:eastAsia="仿宋_GB2312" w:cs="仿宋_GB2312"/>
          <w:b/>
          <w:bCs/>
          <w:color w:val="000000"/>
          <w:kern w:val="0"/>
          <w:sz w:val="32"/>
          <w:szCs w:val="32"/>
          <w:u w:val="none"/>
          <w:shd w:val="clear" w:color="auto" w:fill="auto"/>
          <w:lang w:val="en-US" w:eastAsia="zh-CN" w:bidi="ar-SA"/>
        </w:rPr>
        <w:t>（</w:t>
      </w:r>
      <w:bookmarkEnd w:id="5"/>
      <w:r>
        <w:rPr>
          <w:rFonts w:hint="default" w:ascii="仿宋_GB2312" w:hAnsi="仿宋_GB2312" w:eastAsia="仿宋_GB2312" w:cs="仿宋_GB2312"/>
          <w:b/>
          <w:bCs/>
          <w:color w:val="000000"/>
          <w:kern w:val="0"/>
          <w:sz w:val="32"/>
          <w:szCs w:val="32"/>
          <w:u w:val="none"/>
          <w:shd w:val="clear" w:color="auto" w:fill="auto"/>
          <w:lang w:val="en-US" w:eastAsia="zh-CN" w:bidi="ar-SA"/>
        </w:rPr>
        <w:t>三）验收评定。</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2021年底</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示范县、示范乡镇创建工作完成后，接受市上阶段性评估。示范村创建工作完成后，各示范村先进行自验，自验通过后</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逐级申请组织验收</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spacing w:line="64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、保障措施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3" w:firstLineChars="200"/>
        <w:jc w:val="both"/>
        <w:textAlignment w:val="auto"/>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r>
        <w:rPr>
          <w:rFonts w:hint="default" w:ascii="Times New Roman" w:hAnsi="Times New Roman" w:eastAsia="楷体_GB2312" w:cs="Times New Roman"/>
          <w:b/>
          <w:bCs/>
          <w:color w:val="auto"/>
          <w:sz w:val="32"/>
          <w:szCs w:val="32"/>
          <w:highlight w:val="none"/>
          <w:lang w:val="zh-CN" w:eastAsia="zh-CN"/>
        </w:rPr>
        <w:t>（一）强化组织领导。</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成立由</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委书记、</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县长</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任组长的创建工作领导小组，统筹协调谋划，把乡村示范创建工作摆在突出位置抓实抓好，做到“四到位”，工作部署到位，责任落实到位、工作分工到位，任务落实到位。</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各职能部门要各司其职，各负其责，密切配合。县委农办要加强统筹协调，乡村振兴局抓好组织实施，自然资源部门指导做好村庄规划编制，交通运输部门指导做好自然村(组)道路硬化，水利部门指导做好农村居民供水，住建部门指导做好农房建筑风貌引导和农村生活垃圾治理，生态环境部门指导农村做好生活污水(农村黑臭水体)治理，商务部门指导做好农村电商物流网络建设，林草部门指导做好村庄绿化，通信管理部门指导做好农村通信保障提升，工商联结合推进“千企兴千村行动引导民营企业参与乡村建设，基础教育、文化体育、医疗卫生、社会保障、培训就业、综合服务和宣传引导、权益维护、安全保障、村民自治等工作，县委农村工作领导小组(县实施乡村振兴战略领导小组)成员单位和相关部门按照职能加大指导支持力度。</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643" w:firstLineChars="200"/>
        <w:jc w:val="both"/>
        <w:textAlignment w:val="auto"/>
        <w:rPr>
          <w:rFonts w:hint="default" w:ascii="仿宋_GB2312" w:hAnsi="仿宋_GB2312" w:eastAsia="仿宋_GB2312" w:cs="仿宋_GB2312"/>
          <w:b w:val="0"/>
          <w:bCs w:val="0"/>
          <w:color w:val="000000"/>
          <w:kern w:val="0"/>
          <w:sz w:val="32"/>
          <w:szCs w:val="32"/>
          <w:u w:val="none"/>
          <w:shd w:val="clear" w:color="auto" w:fill="auto"/>
          <w:lang w:val="zh-CN" w:eastAsia="zh-CN" w:bidi="ar-SA"/>
        </w:rPr>
      </w:pPr>
      <w:r>
        <w:rPr>
          <w:rFonts w:hint="default" w:ascii="Times New Roman" w:hAnsi="Times New Roman" w:eastAsia="楷体_GB2312" w:cs="Times New Roman"/>
          <w:b/>
          <w:bCs/>
          <w:color w:val="auto"/>
          <w:sz w:val="32"/>
          <w:szCs w:val="32"/>
          <w:highlight w:val="none"/>
          <w:lang w:val="en-US" w:eastAsia="zh-CN"/>
        </w:rPr>
        <w:t>（二）强化宣传引导。</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坚持示范创建与典型引领相结合，采取悬挂横幅、刷写标语、微信、广播电视和自媒体平台推送等多种方式对典型做法成效进行宣传报道，同时大力宣传乡村</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建设</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示范</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行动</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的重大意义，</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凝聚正能量，充分调动广大干部群众的积极性、主动性、创造性，</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主动投身产业培育、基础建设、环境治理、文化建设、基层管理服务、公共事务监督、社会治理等乡村建设示范创建项目实施当中，不断扩大示范创建活动的影响力，</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把各方力量、各种资源汇集到乡村建设中来</w:t>
      </w:r>
      <w:r>
        <w:rPr>
          <w:rFonts w:hint="default" w:ascii="仿宋_GB2312" w:hAnsi="仿宋_GB2312" w:eastAsia="仿宋_GB2312" w:cs="仿宋_GB2312"/>
          <w:b w:val="0"/>
          <w:bCs w:val="0"/>
          <w:color w:val="000000"/>
          <w:kern w:val="0"/>
          <w:sz w:val="32"/>
          <w:szCs w:val="32"/>
          <w:u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仿宋_GB2312" w:hAnsi="仿宋_GB2312" w:eastAsia="仿宋_GB2312" w:cs="仿宋_GB2312"/>
          <w:b w:val="0"/>
          <w:bCs w:val="0"/>
          <w:color w:val="000000"/>
          <w:kern w:val="0"/>
          <w:sz w:val="32"/>
          <w:szCs w:val="32"/>
          <w:u w:val="none"/>
          <w:shd w:val="clear" w:color="auto" w:fill="auto"/>
          <w:lang w:val="zh-CN" w:eastAsia="zh-CN" w:bidi="ar-SA"/>
        </w:rPr>
      </w:pPr>
      <w:r>
        <w:rPr>
          <w:rFonts w:hint="default" w:ascii="Times New Roman" w:hAnsi="Times New Roman" w:eastAsia="楷体_GB2312" w:cs="Times New Roman"/>
          <w:b/>
          <w:bCs/>
          <w:color w:val="auto"/>
          <w:sz w:val="32"/>
          <w:szCs w:val="32"/>
          <w:highlight w:val="none"/>
          <w:lang w:val="zh-CN" w:eastAsia="zh-CN"/>
        </w:rPr>
        <w:t>（三）</w:t>
      </w:r>
      <w:r>
        <w:rPr>
          <w:rFonts w:hint="default" w:ascii="Times New Roman" w:hAnsi="Times New Roman" w:eastAsia="楷体_GB2312" w:cs="Times New Roman"/>
          <w:b/>
          <w:bCs/>
          <w:color w:val="auto"/>
          <w:sz w:val="32"/>
          <w:szCs w:val="32"/>
          <w:highlight w:val="none"/>
          <w:lang w:val="en-US" w:eastAsia="zh-CN"/>
        </w:rPr>
        <w:t>强化督促落实。</w:t>
      </w: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将乡村建设示范行动纳入全县实施乡村振兴战略督查考核，工作任务落实、资金整合投入、示范建设成效作为重要考核内容。</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委农村工作领导小组(</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实施乡村振兴战略领导小组)办公室将联合</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直有关单位，组织开展督促检查和验收评估。各</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乡镇</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县直责任部门</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要建立健全工作推进机制，加强督促指导，确保工作进度、建设质量和实施效果。</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各乡镇</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每季度向</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委农村工作领导小组(</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实施乡村振兴战略领导小组)办公室、</w:t>
      </w:r>
      <w:r>
        <w:rPr>
          <w:rFonts w:hint="eastAsia" w:ascii="仿宋_GB2312" w:hAnsi="仿宋_GB2312" w:eastAsia="仿宋_GB2312" w:cs="仿宋_GB2312"/>
          <w:b w:val="0"/>
          <w:bCs w:val="0"/>
          <w:color w:val="000000"/>
          <w:kern w:val="0"/>
          <w:sz w:val="32"/>
          <w:szCs w:val="32"/>
          <w:u w:val="none"/>
          <w:shd w:val="clear" w:color="auto" w:fill="auto"/>
          <w:lang w:val="zh-CN" w:eastAsia="zh-CN" w:bidi="ar-SA"/>
        </w:rPr>
        <w:t>县</w:t>
      </w:r>
      <w:r>
        <w:rPr>
          <w:rFonts w:hint="default" w:ascii="仿宋_GB2312" w:hAnsi="仿宋_GB2312" w:eastAsia="仿宋_GB2312" w:cs="仿宋_GB2312"/>
          <w:b w:val="0"/>
          <w:bCs w:val="0"/>
          <w:color w:val="000000"/>
          <w:kern w:val="0"/>
          <w:sz w:val="32"/>
          <w:szCs w:val="32"/>
          <w:u w:val="none"/>
          <w:shd w:val="clear" w:color="auto" w:fill="auto"/>
          <w:lang w:val="zh-CN" w:eastAsia="zh-CN" w:bidi="ar-SA"/>
        </w:rPr>
        <w:t>乡村振兴局报送一次工作进展情况。</w:t>
      </w:r>
    </w:p>
    <w:p>
      <w:pPr>
        <w:pStyle w:val="4"/>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 xml:space="preserve">  </w:t>
      </w:r>
    </w:p>
    <w:p>
      <w:pPr>
        <w:pStyle w:val="4"/>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r>
        <w:rPr>
          <w:rFonts w:hint="eastAsia" w:ascii="仿宋_GB2312" w:hAnsi="仿宋_GB2312" w:eastAsia="仿宋_GB2312" w:cs="仿宋_GB2312"/>
          <w:b w:val="0"/>
          <w:bCs w:val="0"/>
          <w:color w:val="000000"/>
          <w:kern w:val="0"/>
          <w:sz w:val="32"/>
          <w:szCs w:val="32"/>
          <w:u w:val="none"/>
          <w:shd w:val="clear" w:color="auto" w:fill="auto"/>
          <w:lang w:val="en-US" w:eastAsia="zh-CN" w:bidi="ar-SA"/>
        </w:rPr>
        <w:t>附：正宁县乡村建设示范县创建工作领导小组名单</w:t>
      </w: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pStyle w:val="4"/>
        <w:rPr>
          <w:rFonts w:hint="eastAsia" w:ascii="仿宋_GB2312" w:hAnsi="仿宋_GB2312" w:eastAsia="仿宋_GB2312" w:cs="仿宋_GB2312"/>
          <w:b w:val="0"/>
          <w:bCs w:val="0"/>
          <w:color w:val="000000"/>
          <w:kern w:val="0"/>
          <w:sz w:val="32"/>
          <w:szCs w:val="32"/>
          <w:u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正宁县乡村建设示范县创建工作领导小组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长：王光龙   县委书记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程跟会   县委副书记、县长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副组长：刘海宁   县委副书记（负责常务工作）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 xml:space="preserve">        齐雪柏   </w:t>
      </w:r>
      <w:r>
        <w:rPr>
          <w:rFonts w:hint="eastAsia" w:ascii="仿宋_GB2312" w:hAnsi="仿宋_GB2312" w:eastAsia="仿宋_GB2312" w:cs="仿宋_GB2312"/>
          <w:spacing w:val="-11"/>
          <w:sz w:val="32"/>
          <w:szCs w:val="32"/>
          <w:lang w:val="en-US" w:eastAsia="zh-CN"/>
        </w:rPr>
        <w:t>县委常委、县纪委书记、县监委主任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郑新锋   县委常委、政法委书记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何子通   县委常委、宣传部长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许秀荣   县委常委、组织部长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边  桃   县委常委、县政府常务副县长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李培博   县委常委、统战部部长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段卫国   县委常委、武装部政委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鲁生林   县委常委、县政府副县长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张建军   县委常委、县政府副县长（挂职）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韩仁旺   县委常委、县政府副县长（挂职）</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张俊杰   县人大常委会副主任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  刚   县政府</w:t>
      </w:r>
      <w:r>
        <w:rPr>
          <w:rFonts w:hint="eastAsia" w:ascii="仿宋_GB2312" w:hAnsi="仿宋_GB2312" w:eastAsia="仿宋_GB2312" w:cs="仿宋_GB2312"/>
          <w:sz w:val="32"/>
          <w:szCs w:val="32"/>
        </w:rPr>
        <w:t>副县长、县公安局局长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彭雅宏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巩占民   县政协副主席</w:t>
      </w:r>
      <w:bookmarkStart w:id="6" w:name="_GoBack"/>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员：白东怀   县委办主任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仵占峰   县政府办主任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李志阳</w:t>
      </w:r>
      <w:r>
        <w:rPr>
          <w:rFonts w:hint="eastAsia" w:ascii="仿宋_GB2312" w:hAnsi="仿宋_GB2312" w:eastAsia="仿宋_GB2312" w:cs="仿宋_GB2312"/>
          <w:sz w:val="32"/>
          <w:szCs w:val="32"/>
          <w:lang w:val="en-US" w:eastAsia="zh-CN"/>
        </w:rPr>
        <w:t xml:space="preserve">   县纪委副书记、县监委副主任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杨宝权   县委宣传部副部长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于晓波   </w:t>
      </w:r>
      <w:r>
        <w:rPr>
          <w:rFonts w:hint="eastAsia" w:ascii="仿宋_GB2312" w:hAnsi="仿宋_GB2312" w:eastAsia="仿宋_GB2312" w:cs="仿宋_GB2312"/>
          <w:sz w:val="32"/>
          <w:szCs w:val="32"/>
        </w:rPr>
        <w:t>县委组织部副部长</w:t>
      </w:r>
    </w:p>
    <w:p>
      <w:pPr>
        <w:keepNext w:val="0"/>
        <w:keepLines w:val="0"/>
        <w:pageBreakBefore w:val="0"/>
        <w:widowControl w:val="0"/>
        <w:kinsoku/>
        <w:wordWrap/>
        <w:overflowPunct/>
        <w:topLinePunct w:val="0"/>
        <w:autoSpaceDE/>
        <w:autoSpaceDN/>
        <w:bidi w:val="0"/>
        <w:adjustRightInd/>
        <w:snapToGrid/>
        <w:spacing w:line="560" w:lineRule="exact"/>
        <w:ind w:right="-888" w:rightChars="-444"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焦晓峰   县委统战部副部长</w:t>
      </w:r>
    </w:p>
    <w:p>
      <w:pPr>
        <w:keepNext w:val="0"/>
        <w:keepLines w:val="0"/>
        <w:pageBreakBefore w:val="0"/>
        <w:widowControl w:val="0"/>
        <w:kinsoku/>
        <w:wordWrap/>
        <w:overflowPunct/>
        <w:topLinePunct w:val="0"/>
        <w:autoSpaceDE/>
        <w:autoSpaceDN/>
        <w:bidi w:val="0"/>
        <w:adjustRightInd/>
        <w:snapToGrid/>
        <w:spacing w:line="560" w:lineRule="exact"/>
        <w:ind w:right="-888" w:rightChars="-444" w:firstLine="1920"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李会民</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县委组织部副部长、编办主任</w:t>
      </w:r>
    </w:p>
    <w:p>
      <w:pPr>
        <w:keepNext w:val="0"/>
        <w:keepLines w:val="0"/>
        <w:pageBreakBefore w:val="0"/>
        <w:widowControl w:val="0"/>
        <w:kinsoku/>
        <w:wordWrap/>
        <w:overflowPunct/>
        <w:topLinePunct w:val="0"/>
        <w:autoSpaceDE/>
        <w:autoSpaceDN/>
        <w:bidi w:val="0"/>
        <w:adjustRightInd/>
        <w:snapToGrid/>
        <w:spacing w:line="560" w:lineRule="exact"/>
        <w:ind w:right="-888" w:rightChars="-444"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袁岁宁   县检察院副院长</w:t>
      </w:r>
    </w:p>
    <w:p>
      <w:pPr>
        <w:keepNext w:val="0"/>
        <w:keepLines w:val="0"/>
        <w:pageBreakBefore w:val="0"/>
        <w:widowControl w:val="0"/>
        <w:kinsoku/>
        <w:wordWrap/>
        <w:overflowPunct/>
        <w:topLinePunct w:val="0"/>
        <w:autoSpaceDE/>
        <w:autoSpaceDN/>
        <w:bidi w:val="0"/>
        <w:adjustRightInd/>
        <w:snapToGrid/>
        <w:spacing w:line="560" w:lineRule="exact"/>
        <w:ind w:right="-888" w:rightChars="-444"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王兆辉   县法院副院长</w:t>
      </w:r>
    </w:p>
    <w:p>
      <w:pPr>
        <w:keepNext w:val="0"/>
        <w:keepLines w:val="0"/>
        <w:pageBreakBefore w:val="0"/>
        <w:widowControl w:val="0"/>
        <w:kinsoku/>
        <w:wordWrap/>
        <w:overflowPunct/>
        <w:topLinePunct w:val="0"/>
        <w:autoSpaceDE/>
        <w:autoSpaceDN/>
        <w:bidi w:val="0"/>
        <w:adjustRightInd/>
        <w:snapToGrid/>
        <w:spacing w:line="560" w:lineRule="exact"/>
        <w:ind w:right="-888" w:rightChars="-444"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罗志宁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县直机关工委书记</w:t>
      </w:r>
    </w:p>
    <w:p>
      <w:pPr>
        <w:keepNext w:val="0"/>
        <w:keepLines w:val="0"/>
        <w:pageBreakBefore w:val="0"/>
        <w:widowControl w:val="0"/>
        <w:kinsoku/>
        <w:wordWrap/>
        <w:overflowPunct/>
        <w:topLinePunct w:val="0"/>
        <w:autoSpaceDE/>
        <w:autoSpaceDN/>
        <w:bidi w:val="0"/>
        <w:adjustRightInd/>
        <w:snapToGrid/>
        <w:spacing w:line="560" w:lineRule="exact"/>
        <w:ind w:right="-888" w:rightChars="-444"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彭文新   县委巡察办主任</w:t>
      </w:r>
    </w:p>
    <w:p>
      <w:pPr>
        <w:keepNext w:val="0"/>
        <w:keepLines w:val="0"/>
        <w:pageBreakBefore w:val="0"/>
        <w:widowControl w:val="0"/>
        <w:kinsoku/>
        <w:wordWrap/>
        <w:overflowPunct/>
        <w:topLinePunct w:val="0"/>
        <w:autoSpaceDE/>
        <w:autoSpaceDN/>
        <w:bidi w:val="0"/>
        <w:adjustRightInd/>
        <w:snapToGrid/>
        <w:spacing w:line="560" w:lineRule="exact"/>
        <w:ind w:right="-888" w:rightChars="-444"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刘继斌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范步峰   县教育局局长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  杰   县科技局局长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刘旺平</w:t>
      </w:r>
      <w:r>
        <w:rPr>
          <w:rFonts w:hint="eastAsia" w:ascii="仿宋_GB2312" w:hAnsi="仿宋_GB2312" w:eastAsia="仿宋_GB2312" w:cs="仿宋_GB2312"/>
          <w:sz w:val="32"/>
          <w:szCs w:val="32"/>
        </w:rPr>
        <w:t xml:space="preserve">   县工信局局长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路晓林</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县民政局局长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石东学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李贵杰   县委组织部副部长、人社局局长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张宏妮</w:t>
      </w:r>
      <w:r>
        <w:rPr>
          <w:rFonts w:hint="eastAsia" w:ascii="仿宋_GB2312" w:hAnsi="仿宋_GB2312" w:eastAsia="仿宋_GB2312" w:cs="仿宋_GB2312"/>
          <w:sz w:val="32"/>
          <w:szCs w:val="32"/>
          <w:lang w:val="en-US" w:eastAsia="zh-CN"/>
        </w:rPr>
        <w:t xml:space="preserve">   县委统战部副部长、民宗局局长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岳小龙</w:t>
      </w:r>
      <w:r>
        <w:rPr>
          <w:rFonts w:hint="eastAsia" w:ascii="仿宋_GB2312" w:hAnsi="仿宋_GB2312" w:eastAsia="仿宋_GB2312" w:cs="仿宋_GB2312"/>
          <w:sz w:val="32"/>
          <w:szCs w:val="32"/>
        </w:rPr>
        <w:t xml:space="preserve">   县自然资源管理局局长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赵卫国   县住建局局长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杨广红   县交通局局长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穆玺堂   县农业农村局局长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先新恒</w:t>
      </w:r>
      <w:r>
        <w:rPr>
          <w:rFonts w:hint="eastAsia" w:ascii="仿宋_GB2312" w:hAnsi="仿宋_GB2312" w:eastAsia="仿宋_GB2312" w:cs="仿宋_GB2312"/>
          <w:sz w:val="32"/>
          <w:szCs w:val="32"/>
        </w:rPr>
        <w:t xml:space="preserve">   市生态环境局正宁分局局长</w:t>
      </w:r>
    </w:p>
    <w:p>
      <w:pPr>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赵鹏年   </w:t>
      </w:r>
      <w:r>
        <w:rPr>
          <w:rFonts w:hint="eastAsia" w:ascii="仿宋_GB2312" w:hAnsi="仿宋_GB2312" w:eastAsia="仿宋_GB2312" w:cs="仿宋_GB2312"/>
          <w:sz w:val="32"/>
          <w:szCs w:val="32"/>
        </w:rPr>
        <w:t>县公安局党委委员、主任科员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刘发儒   县司法局局长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吴俊峰   县水务局局长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邢志杰   县商务局局长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王小林   县文体广电和旅游局局长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赵鹏程   县卫健局局长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彭文德   县审计局局长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冯建辉   县应急局局长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博</w:t>
      </w:r>
      <w:r>
        <w:rPr>
          <w:rFonts w:hint="eastAsia" w:ascii="仿宋_GB2312" w:hAnsi="仿宋_GB2312" w:eastAsia="仿宋_GB2312" w:cs="仿宋_GB2312"/>
          <w:sz w:val="32"/>
          <w:szCs w:val="32"/>
          <w:lang w:val="en-US" w:eastAsia="zh-CN"/>
        </w:rPr>
        <w:t xml:space="preserve">   县国资局局长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  辉   县统计局局长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邢亚雄   县市场监管局长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穆升华   县</w:t>
      </w:r>
      <w:r>
        <w:rPr>
          <w:rFonts w:hint="eastAsia" w:ascii="仿宋_GB2312" w:hAnsi="仿宋_GB2312" w:eastAsia="仿宋_GB2312" w:cs="仿宋_GB2312"/>
          <w:sz w:val="32"/>
          <w:szCs w:val="32"/>
          <w:lang w:eastAsia="zh-CN"/>
        </w:rPr>
        <w:t>乡村振兴局局长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何志杰   县医保局局长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王光瑞   县水保局局长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范英民   县工商联主席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黄向阳</w:t>
      </w:r>
      <w:r>
        <w:rPr>
          <w:rFonts w:hint="eastAsia" w:ascii="仿宋_GB2312" w:hAnsi="仿宋_GB2312" w:eastAsia="仿宋_GB2312" w:cs="仿宋_GB2312"/>
          <w:sz w:val="32"/>
          <w:szCs w:val="32"/>
        </w:rPr>
        <w:t xml:space="preserve">   县总工会常务副主席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杨清亮   团县委书记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刘文华   县妇联主席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何彦峰   县残联理事长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王光瑞   县水保局局长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冲   县供销社主任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  彪   县科协主席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贾永峰   县融媒体中心主任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黄世谋   县气象局局长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俊</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县供电公司经理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lang w:val="en-US" w:eastAsia="zh-CN"/>
        </w:rPr>
        <w:t>飞</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sz w:val="32"/>
          <w:szCs w:val="32"/>
        </w:rPr>
        <w:t>县电信</w:t>
      </w:r>
      <w:r>
        <w:rPr>
          <w:rFonts w:hint="eastAsia" w:ascii="仿宋_GB2312" w:hAnsi="仿宋_GB2312" w:eastAsia="仿宋_GB2312" w:cs="仿宋_GB2312"/>
          <w:sz w:val="32"/>
          <w:szCs w:val="32"/>
          <w:lang w:eastAsia="zh-CN"/>
        </w:rPr>
        <w:t>公司经理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石金虎</w:t>
      </w:r>
      <w:r>
        <w:rPr>
          <w:rFonts w:hint="eastAsia" w:ascii="仿宋_GB2312" w:hAnsi="仿宋_GB2312" w:eastAsia="仿宋_GB2312" w:cs="仿宋_GB2312"/>
          <w:sz w:val="32"/>
          <w:szCs w:val="32"/>
        </w:rPr>
        <w:t xml:space="preserve">   人行正宁支行行长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董纯录</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 xml:space="preserve">  县信用联社理事长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  虎   农行正宁支行行长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杨鹏鹏   甘肃银行正宁支行行长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赵晓程   西坡镇党委书记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罗俊峰   山河镇党委书记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杨晓敏   永正镇党委书记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张正龙   榆林子镇党委书记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  凯   宫河镇党委书记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魏志坚   周家镇党委书记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杨东平   五顷塬乡党委书记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  涛   湫头镇党委书记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姚俊宏   永和镇党委书记</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刘育国   三嘉乡党委书记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eastAsia="zh-CN"/>
        </w:rPr>
        <w:t>领导小组办公室设在县乡村振兴局,主要负责方案编制、协调联络、督查考核、总结宣传等日常工作，办公室主任由</w:t>
      </w:r>
      <w:r>
        <w:rPr>
          <w:rFonts w:hint="eastAsia" w:ascii="仿宋_GB2312" w:hAnsi="仿宋_GB2312" w:eastAsia="仿宋_GB2312" w:cs="仿宋_GB2312"/>
          <w:sz w:val="32"/>
          <w:szCs w:val="32"/>
        </w:rPr>
        <w:t>穆升华</w:t>
      </w:r>
      <w:r>
        <w:rPr>
          <w:rFonts w:hint="eastAsia" w:ascii="仿宋_GB2312" w:hAnsi="仿宋_GB2312" w:eastAsia="仿宋_GB2312" w:cs="仿宋_GB2312"/>
          <w:color w:val="000000" w:themeColor="text1"/>
          <w:sz w:val="32"/>
          <w:szCs w:val="32"/>
          <w:lang w:eastAsia="zh-CN"/>
        </w:rPr>
        <w:t>同志担任。领导小组成员如有变动,报请组长同意后,由接任工作的同志递补,不另行文。</w:t>
      </w:r>
    </w:p>
    <w:p>
      <w:pPr>
        <w:rPr>
          <w:rFonts w:hint="eastAsia" w:ascii="仿宋_GB2312" w:hAnsi="仿宋_GB2312" w:eastAsia="仿宋_GB2312" w:cs="仿宋_GB2312"/>
          <w:sz w:val="32"/>
          <w:szCs w:val="32"/>
          <w:lang w:val="en-US" w:eastAsia="zh-CN"/>
        </w:rPr>
      </w:pPr>
    </w:p>
    <w:p>
      <w:pPr>
        <w:keepNext/>
        <w:keepLines w:val="0"/>
        <w:pageBreakBefore w:val="0"/>
        <w:kinsoku/>
        <w:wordWrap/>
        <w:overflowPunct/>
        <w:topLinePunct w:val="0"/>
        <w:autoSpaceDE/>
        <w:autoSpaceDN/>
        <w:bidi w:val="0"/>
        <w:spacing w:line="600" w:lineRule="exact"/>
        <w:ind w:left="0" w:right="0" w:firstLine="640" w:firstLineChars="200"/>
        <w:textAlignment w:val="auto"/>
        <w:rPr>
          <w:rFonts w:hint="eastAsia" w:ascii="仿宋_GB2312" w:hAnsi="仿宋_GB2312" w:eastAsia="仿宋_GB2312" w:cs="仿宋_GB2312"/>
          <w:sz w:val="32"/>
          <w:szCs w:val="32"/>
        </w:rPr>
      </w:pPr>
    </w:p>
    <w:sectPr>
      <w:footerReference r:id="rId3" w:type="default"/>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245892"/>
    <w:rsid w:val="06FF50D4"/>
    <w:rsid w:val="07990525"/>
    <w:rsid w:val="11B036FE"/>
    <w:rsid w:val="12D62604"/>
    <w:rsid w:val="21DB3BDF"/>
    <w:rsid w:val="25F52955"/>
    <w:rsid w:val="29771267"/>
    <w:rsid w:val="33074E8E"/>
    <w:rsid w:val="3B9E7BDB"/>
    <w:rsid w:val="4C235DC2"/>
    <w:rsid w:val="500D3388"/>
    <w:rsid w:val="5092448C"/>
    <w:rsid w:val="558628D9"/>
    <w:rsid w:val="5B4621C4"/>
    <w:rsid w:val="633710B9"/>
    <w:rsid w:val="641D4F58"/>
    <w:rsid w:val="6BD959F7"/>
    <w:rsid w:val="6DDC2013"/>
    <w:rsid w:val="75F07AB3"/>
    <w:rsid w:val="7E4E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Arial" w:hAnsi="Arial" w:eastAsia="Arial" w:cs="Arial"/>
      <w:sz w:val="20"/>
      <w:szCs w:val="20"/>
      <w:lang w:val="en-US"/>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3"/>
    <w:qFormat/>
    <w:uiPriority w:val="0"/>
    <w:pPr>
      <w:spacing w:line="480" w:lineRule="auto"/>
      <w:ind w:left="420" w:leftChars="200"/>
      <w:jc w:val="both"/>
      <w:textAlignment w:val="baseline"/>
    </w:pPr>
  </w:style>
  <w:style w:type="paragraph" w:customStyle="1" w:styleId="3">
    <w:name w:val="BodyText"/>
    <w:basedOn w:val="1"/>
    <w:qFormat/>
    <w:uiPriority w:val="0"/>
    <w:pPr>
      <w:spacing w:after="120"/>
      <w:jc w:val="both"/>
      <w:textAlignment w:val="baseline"/>
    </w:pPr>
  </w:style>
  <w:style w:type="paragraph" w:styleId="4">
    <w:name w:val="Body Text"/>
    <w:basedOn w:val="1"/>
    <w:next w:val="1"/>
    <w:qFormat/>
    <w:uiPriority w:val="1"/>
    <w:pPr>
      <w:ind w:left="113"/>
      <w:jc w:val="left"/>
    </w:pPr>
    <w:rPr>
      <w:rFonts w:ascii="宋体" w:hAnsi="宋体" w:eastAsia="宋体"/>
      <w:kern w:val="0"/>
      <w:sz w:val="28"/>
      <w:szCs w:val="28"/>
      <w:lang w:eastAsia="en-US"/>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tabs>
        <w:tab w:val="left" w:pos="0"/>
      </w:tabs>
      <w:adjustRightInd w:val="0"/>
      <w:snapToGrid w:val="0"/>
      <w:spacing w:before="100" w:beforeLines="100" w:after="100" w:afterLines="100"/>
      <w:ind w:firstLine="0" w:firstLineChars="0"/>
      <w:jc w:val="center"/>
    </w:pPr>
    <w:rPr>
      <w:rFonts w:hAnsi="Arial" w:cs="Arial"/>
      <w:b/>
      <w:bCs/>
      <w:sz w:val="48"/>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otnote reference"/>
    <w:semiHidden/>
    <w:unhideWhenUsed/>
    <w:qFormat/>
    <w:uiPriority w:val="0"/>
    <w:rPr>
      <w:vertAlign w:val="superscript"/>
    </w:rPr>
  </w:style>
  <w:style w:type="paragraph" w:customStyle="1" w:styleId="14">
    <w:name w:val="Body Text First Indent 21"/>
    <w:basedOn w:val="15"/>
    <w:qFormat/>
    <w:uiPriority w:val="0"/>
    <w:pPr>
      <w:ind w:firstLine="420" w:firstLineChars="200"/>
    </w:pPr>
  </w:style>
  <w:style w:type="paragraph" w:customStyle="1" w:styleId="15">
    <w:name w:val="Body Text Indent1"/>
    <w:basedOn w:val="1"/>
    <w:qFormat/>
    <w:uiPriority w:val="0"/>
    <w:pPr>
      <w:ind w:left="420" w:leftChars="200"/>
    </w:pPr>
  </w:style>
  <w:style w:type="paragraph" w:customStyle="1" w:styleId="16">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34</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2021-09-04T13:03:00Z</dcterms:created>
  <dc:creator>哦哦</dc:creator>
  <cp:lastModifiedBy>Administrator</cp:lastModifiedBy>
  <cp:lastPrinted>2021-09-05T03:04:00Z</cp:lastPrinted>
  <dcterms:modified xsi:type="dcterms:W3CDTF">2021-09-08T14:46:32Z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37307673F0EE4011840B1164A882F93D</vt:lpwstr>
  </property>
</Properties>
</file>