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15"/>
          <w:szCs w:val="15"/>
        </w:rPr>
      </w:pPr>
      <w:bookmarkStart w:id="0" w:name="_GoBack"/>
      <w:r>
        <w:rPr>
          <w:rFonts w:hint="eastAsia"/>
          <w:b/>
          <w:sz w:val="36"/>
          <w:szCs w:val="36"/>
        </w:rPr>
        <w:t>正宁县宫河镇人民政府 2021 年度决算分析</w:t>
      </w:r>
    </w:p>
    <w:bookmarkEnd w:id="0"/>
    <w:p>
      <w:pPr>
        <w:jc w:val="center"/>
        <w:rPr>
          <w:b/>
          <w:sz w:val="15"/>
          <w:szCs w:val="15"/>
        </w:rPr>
      </w:pPr>
    </w:p>
    <w:p>
      <w:pPr>
        <w:rPr>
          <w:rFonts w:ascii="仿宋" w:hAnsi="仿宋" w:eastAsia="仿宋"/>
          <w:sz w:val="30"/>
          <w:szCs w:val="30"/>
        </w:rPr>
      </w:pPr>
      <w:r>
        <w:rPr>
          <w:rFonts w:hint="eastAsia" w:ascii="仿宋" w:hAnsi="仿宋" w:eastAsia="仿宋"/>
          <w:sz w:val="30"/>
          <w:szCs w:val="30"/>
        </w:rPr>
        <w:t xml:space="preserve">   2021 年，我单位决算工作认真贯彻落实全省财政决算工作会议精神，在财政局的精心指导下，完成了本单位 2021年度决算编制工作，现对决算情况分析如下:</w:t>
      </w:r>
    </w:p>
    <w:p>
      <w:pPr>
        <w:rPr>
          <w:rFonts w:ascii="仿宋" w:hAnsi="仿宋" w:eastAsia="仿宋"/>
          <w:b/>
          <w:sz w:val="30"/>
          <w:szCs w:val="30"/>
        </w:rPr>
      </w:pPr>
      <w:r>
        <w:rPr>
          <w:rFonts w:hint="eastAsia" w:ascii="仿宋" w:hAnsi="仿宋" w:eastAsia="仿宋"/>
          <w:b/>
          <w:sz w:val="30"/>
          <w:szCs w:val="30"/>
        </w:rPr>
        <w:t xml:space="preserve">    一、决算汇编基本情况</w:t>
      </w:r>
    </w:p>
    <w:p>
      <w:pPr>
        <w:rPr>
          <w:rFonts w:ascii="仿宋" w:hAnsi="仿宋" w:eastAsia="仿宋"/>
          <w:b/>
          <w:sz w:val="30"/>
          <w:szCs w:val="30"/>
        </w:rPr>
      </w:pPr>
      <w:r>
        <w:rPr>
          <w:rFonts w:hint="eastAsia" w:ascii="仿宋" w:hAnsi="仿宋" w:eastAsia="仿宋"/>
          <w:b/>
          <w:sz w:val="30"/>
          <w:szCs w:val="30"/>
        </w:rPr>
        <w:t xml:space="preserve">   （一）部门机构情况说明</w:t>
      </w:r>
    </w:p>
    <w:p>
      <w:pPr>
        <w:rPr>
          <w:rFonts w:ascii="仿宋" w:hAnsi="仿宋" w:eastAsia="仿宋"/>
          <w:sz w:val="30"/>
          <w:szCs w:val="30"/>
        </w:rPr>
      </w:pPr>
      <w:r>
        <w:rPr>
          <w:rFonts w:hint="eastAsia" w:ascii="仿宋" w:hAnsi="仿宋" w:eastAsia="仿宋"/>
          <w:sz w:val="30"/>
          <w:szCs w:val="30"/>
        </w:rPr>
        <w:t xml:space="preserve">    2021 年度，纳入本部门决算汇编范围的独立核算单位共 1 个，与上年度保持一致，无变化。</w:t>
      </w:r>
    </w:p>
    <w:p>
      <w:pPr>
        <w:rPr>
          <w:rFonts w:ascii="仿宋" w:hAnsi="仿宋" w:eastAsia="仿宋"/>
          <w:b/>
          <w:sz w:val="30"/>
          <w:szCs w:val="30"/>
        </w:rPr>
      </w:pPr>
      <w:r>
        <w:rPr>
          <w:rFonts w:hint="eastAsia" w:ascii="仿宋" w:hAnsi="仿宋" w:eastAsia="仿宋"/>
          <w:b/>
          <w:sz w:val="30"/>
          <w:szCs w:val="30"/>
        </w:rPr>
        <w:t xml:space="preserve">    二、收入支出预算执行情况分析</w:t>
      </w:r>
    </w:p>
    <w:p>
      <w:pPr>
        <w:rPr>
          <w:rFonts w:ascii="仿宋" w:hAnsi="仿宋" w:eastAsia="仿宋"/>
          <w:b/>
          <w:sz w:val="30"/>
          <w:szCs w:val="30"/>
        </w:rPr>
      </w:pPr>
      <w:r>
        <w:rPr>
          <w:rFonts w:hint="eastAsia" w:ascii="仿宋" w:hAnsi="仿宋" w:eastAsia="仿宋"/>
          <w:b/>
          <w:sz w:val="30"/>
          <w:szCs w:val="30"/>
        </w:rPr>
        <w:t xml:space="preserve">   （一）收入支出预算安排情况</w:t>
      </w:r>
    </w:p>
    <w:p>
      <w:pPr>
        <w:rPr>
          <w:rFonts w:ascii="宋体" w:hAnsi="宋体" w:eastAsia="宋体" w:cs="Arial"/>
          <w:color w:val="000000"/>
          <w:kern w:val="0"/>
          <w:sz w:val="22"/>
        </w:rPr>
      </w:pPr>
      <w:r>
        <w:rPr>
          <w:rFonts w:hint="eastAsia" w:ascii="仿宋" w:hAnsi="仿宋" w:eastAsia="仿宋"/>
          <w:sz w:val="30"/>
          <w:szCs w:val="30"/>
        </w:rPr>
        <w:t xml:space="preserve">    2021 年度我单位收、支预算数均安排1678.79万元，较 2020年收支预算1278.01万元,增加支出预算400.78万元，主要是项目支出增加支出预算400.78万元。</w:t>
      </w:r>
    </w:p>
    <w:p>
      <w:pPr>
        <w:rPr>
          <w:rFonts w:ascii="仿宋" w:hAnsi="仿宋" w:eastAsia="仿宋"/>
          <w:b/>
          <w:sz w:val="30"/>
          <w:szCs w:val="30"/>
        </w:rPr>
      </w:pPr>
      <w:r>
        <w:rPr>
          <w:rFonts w:hint="eastAsia" w:ascii="仿宋" w:hAnsi="仿宋" w:eastAsia="仿宋"/>
          <w:b/>
          <w:sz w:val="30"/>
          <w:szCs w:val="30"/>
        </w:rPr>
        <w:t xml:space="preserve">   （二）收入支出执行情况</w:t>
      </w:r>
    </w:p>
    <w:p>
      <w:pPr>
        <w:rPr>
          <w:rFonts w:ascii="仿宋" w:hAnsi="仿宋" w:eastAsia="仿宋" w:cs="Times New Roman"/>
          <w:b/>
          <w:bCs/>
          <w:sz w:val="32"/>
          <w:szCs w:val="32"/>
        </w:rPr>
      </w:pPr>
      <w:r>
        <w:rPr>
          <w:rFonts w:hint="eastAsia" w:ascii="仿宋" w:hAnsi="仿宋" w:eastAsia="仿宋" w:cs="Times New Roman"/>
          <w:b/>
          <w:bCs/>
          <w:sz w:val="32"/>
          <w:szCs w:val="32"/>
        </w:rPr>
        <w:t xml:space="preserve">     二、收入支出预算执行情况分析</w:t>
      </w:r>
    </w:p>
    <w:p>
      <w:pPr>
        <w:rPr>
          <w:rFonts w:ascii="仿宋" w:hAnsi="仿宋" w:eastAsia="仿宋" w:cs="Times New Roman"/>
          <w:b/>
          <w:sz w:val="28"/>
          <w:szCs w:val="28"/>
        </w:rPr>
      </w:pPr>
      <w:r>
        <w:rPr>
          <w:rFonts w:hint="eastAsia" w:ascii="仿宋" w:hAnsi="仿宋" w:eastAsia="仿宋" w:cs="Times New Roman"/>
          <w:b/>
          <w:sz w:val="28"/>
          <w:szCs w:val="28"/>
        </w:rPr>
        <w:t xml:space="preserve">    （一）收入支出预算安排情况</w:t>
      </w:r>
    </w:p>
    <w:p>
      <w:pPr>
        <w:rPr>
          <w:rFonts w:ascii="宋体" w:hAnsi="宋体" w:eastAsia="宋体" w:cs="Arial"/>
          <w:color w:val="000000"/>
          <w:kern w:val="0"/>
          <w:sz w:val="22"/>
        </w:rPr>
      </w:pPr>
      <w:r>
        <w:rPr>
          <w:rFonts w:hint="eastAsia" w:ascii="仿宋" w:hAnsi="仿宋" w:eastAsia="仿宋"/>
          <w:sz w:val="30"/>
          <w:szCs w:val="30"/>
        </w:rPr>
        <w:t xml:space="preserve">     2021 年度我单位收、支预算数均安排1678.79万元，较 2020年收支预算1278.01万元,增加支出预算400.78万元，主要是项目支出增加支出预算400.78万元。</w:t>
      </w:r>
    </w:p>
    <w:p>
      <w:pPr>
        <w:rPr>
          <w:rFonts w:hint="eastAsia" w:ascii="仿宋" w:hAnsi="仿宋" w:eastAsia="仿宋" w:cs="Times New Roman"/>
          <w:b/>
          <w:sz w:val="28"/>
          <w:szCs w:val="28"/>
        </w:rPr>
      </w:pPr>
      <w:r>
        <w:rPr>
          <w:rFonts w:hint="eastAsia" w:ascii="仿宋" w:hAnsi="仿宋" w:eastAsia="仿宋" w:cs="Times New Roman"/>
          <w:b/>
          <w:sz w:val="28"/>
          <w:szCs w:val="28"/>
        </w:rPr>
        <w:t xml:space="preserve">    （二）收入支出执行情况   </w:t>
      </w:r>
    </w:p>
    <w:p>
      <w:pPr>
        <w:rPr>
          <w:rFonts w:ascii="仿宋" w:hAnsi="仿宋" w:eastAsia="仿宋" w:cs="Times New Roman"/>
          <w:b/>
          <w:sz w:val="28"/>
          <w:szCs w:val="28"/>
        </w:rPr>
      </w:pPr>
      <w:r>
        <w:rPr>
          <w:rFonts w:hint="eastAsia" w:ascii="仿宋" w:hAnsi="仿宋" w:eastAsia="仿宋" w:cs="Times New Roman"/>
          <w:b/>
          <w:sz w:val="28"/>
          <w:szCs w:val="28"/>
        </w:rPr>
        <w:t xml:space="preserve">    </w:t>
      </w:r>
      <w:r>
        <w:rPr>
          <w:rFonts w:hint="eastAsia" w:ascii="仿宋" w:hAnsi="仿宋" w:eastAsia="仿宋" w:cs="仿宋_GB2312"/>
          <w:sz w:val="28"/>
          <w:szCs w:val="28"/>
        </w:rPr>
        <w:t>2021年度收入总计</w:t>
      </w:r>
      <w:r>
        <w:rPr>
          <w:rFonts w:hint="eastAsia" w:ascii="仿宋" w:hAnsi="仿宋" w:eastAsia="仿宋" w:cs="Times New Roman"/>
          <w:sz w:val="28"/>
          <w:szCs w:val="28"/>
        </w:rPr>
        <w:t>6249.74</w:t>
      </w:r>
      <w:r>
        <w:rPr>
          <w:rFonts w:hint="eastAsia" w:ascii="仿宋" w:hAnsi="仿宋" w:eastAsia="仿宋" w:cs="仿宋_GB2312"/>
          <w:sz w:val="28"/>
          <w:szCs w:val="28"/>
        </w:rPr>
        <w:t>万元，其中财政拨款收入</w:t>
      </w:r>
      <w:r>
        <w:rPr>
          <w:rFonts w:hint="eastAsia" w:ascii="仿宋" w:hAnsi="仿宋" w:eastAsia="仿宋" w:cs="Times New Roman"/>
          <w:sz w:val="28"/>
          <w:szCs w:val="28"/>
        </w:rPr>
        <w:t>4919.74万</w:t>
      </w:r>
      <w:r>
        <w:rPr>
          <w:rFonts w:hint="eastAsia" w:ascii="仿宋" w:hAnsi="仿宋" w:eastAsia="仿宋" w:cs="仿宋_GB2312"/>
          <w:sz w:val="28"/>
          <w:szCs w:val="28"/>
        </w:rPr>
        <w:t>元比上年增加10%；支出总计6249.74万元，比上年增加9%</w:t>
      </w:r>
      <w:r>
        <w:rPr>
          <w:rFonts w:hint="eastAsia" w:ascii="仿宋" w:hAnsi="仿宋" w:eastAsia="仿宋"/>
          <w:sz w:val="30"/>
          <w:szCs w:val="30"/>
        </w:rPr>
        <w:t>。</w:t>
      </w:r>
    </w:p>
    <w:p>
      <w:pPr>
        <w:rPr>
          <w:rFonts w:ascii="仿宋" w:hAnsi="仿宋" w:eastAsia="仿宋"/>
          <w:b/>
          <w:sz w:val="30"/>
          <w:szCs w:val="30"/>
        </w:rPr>
      </w:pPr>
      <w:r>
        <w:rPr>
          <w:rFonts w:hint="eastAsia" w:ascii="仿宋" w:hAnsi="仿宋" w:eastAsia="仿宋"/>
          <w:b/>
          <w:sz w:val="30"/>
          <w:szCs w:val="30"/>
        </w:rPr>
        <w:t xml:space="preserve">    （三）收入支出结构分析</w:t>
      </w:r>
    </w:p>
    <w:p>
      <w:pPr>
        <w:rPr>
          <w:rFonts w:ascii="仿宋" w:hAnsi="仿宋" w:eastAsia="仿宋" w:cs="Times New Roman"/>
          <w:sz w:val="30"/>
          <w:szCs w:val="30"/>
        </w:rPr>
      </w:pPr>
      <w:r>
        <w:rPr>
          <w:rFonts w:hint="eastAsia" w:ascii="仿宋" w:hAnsi="仿宋" w:eastAsia="仿宋" w:cs="Times New Roman"/>
          <w:sz w:val="28"/>
          <w:szCs w:val="28"/>
        </w:rPr>
        <w:t xml:space="preserve">     2021年度收入总计6249.74万元 ，其中财政拨款收入4919.74万元，其他收入1330万元。本年度支出总计</w:t>
      </w:r>
      <w:r>
        <w:rPr>
          <w:rFonts w:hint="eastAsia" w:ascii="仿宋" w:hAnsi="仿宋" w:eastAsia="仿宋" w:cs="仿宋_GB2312"/>
          <w:sz w:val="28"/>
          <w:szCs w:val="28"/>
        </w:rPr>
        <w:t>6249.74</w:t>
      </w:r>
      <w:r>
        <w:rPr>
          <w:rFonts w:hint="eastAsia" w:ascii="仿宋" w:hAnsi="仿宋" w:eastAsia="仿宋" w:cs="Times New Roman"/>
          <w:sz w:val="28"/>
          <w:szCs w:val="28"/>
        </w:rPr>
        <w:t>万元，其中财政拨款支出4949.74万元，其他支出1330万元。按支出性质：基本支出</w:t>
      </w:r>
      <w:r>
        <w:rPr>
          <w:rFonts w:hint="eastAsia" w:ascii="仿宋" w:hAnsi="仿宋" w:eastAsia="仿宋" w:cs="Times New Roman"/>
          <w:color w:val="FF0000"/>
          <w:sz w:val="28"/>
          <w:szCs w:val="28"/>
        </w:rPr>
        <w:t>1215.90</w:t>
      </w:r>
      <w:r>
        <w:rPr>
          <w:rFonts w:hint="eastAsia" w:ascii="仿宋" w:hAnsi="仿宋" w:eastAsia="仿宋" w:cs="Times New Roman"/>
          <w:sz w:val="28"/>
          <w:szCs w:val="28"/>
        </w:rPr>
        <w:t>万元，占本年支出的19.5%；项目支出</w:t>
      </w:r>
      <w:r>
        <w:rPr>
          <w:rFonts w:hint="eastAsia" w:ascii="仿宋" w:hAnsi="仿宋" w:eastAsia="仿宋" w:cs="Times New Roman"/>
          <w:color w:val="FF0000"/>
          <w:sz w:val="28"/>
          <w:szCs w:val="28"/>
        </w:rPr>
        <w:t>5033.8</w:t>
      </w:r>
      <w:r>
        <w:rPr>
          <w:rFonts w:hint="eastAsia" w:ascii="仿宋" w:hAnsi="仿宋" w:eastAsia="仿宋" w:cs="Times New Roman"/>
          <w:sz w:val="28"/>
          <w:szCs w:val="28"/>
        </w:rPr>
        <w:t>万元，占总支出的80.5%；按支出经济分类：工资福利支出1041.51万元，占本年支出的16.66%；商品和服务支出470.32万元，占总支出的7.5%；对个人和家庭的补助315.89万元，占总支出的5%；基本建设支出及</w:t>
      </w:r>
      <w:r>
        <w:rPr>
          <w:rFonts w:hint="eastAsia" w:ascii="仿宋" w:hAnsi="仿宋" w:eastAsia="仿宋" w:cs="Times New Roman"/>
          <w:sz w:val="32"/>
          <w:szCs w:val="32"/>
        </w:rPr>
        <w:t>其</w:t>
      </w:r>
      <w:r>
        <w:rPr>
          <w:rFonts w:hint="eastAsia" w:ascii="仿宋" w:hAnsi="仿宋" w:eastAsia="仿宋" w:cs="Times New Roman"/>
          <w:sz w:val="28"/>
          <w:szCs w:val="28"/>
        </w:rPr>
        <w:t>他资本性支出279.7元</w:t>
      </w:r>
      <w:r>
        <w:rPr>
          <w:rFonts w:hint="eastAsia" w:ascii="仿宋" w:hAnsi="仿宋" w:eastAsia="仿宋"/>
          <w:sz w:val="28"/>
          <w:szCs w:val="28"/>
        </w:rPr>
        <w:t>。</w:t>
      </w:r>
    </w:p>
    <w:p>
      <w:pPr>
        <w:rPr>
          <w:rFonts w:ascii="仿宋" w:hAnsi="仿宋" w:eastAsia="仿宋"/>
          <w:b/>
          <w:sz w:val="30"/>
          <w:szCs w:val="30"/>
        </w:rPr>
      </w:pPr>
      <w:r>
        <w:rPr>
          <w:rFonts w:hint="eastAsia" w:ascii="仿宋" w:hAnsi="仿宋" w:eastAsia="仿宋"/>
          <w:b/>
          <w:sz w:val="30"/>
          <w:szCs w:val="30"/>
        </w:rPr>
        <w:t xml:space="preserve">   （四） 重点经济分类支出执行情况</w:t>
      </w:r>
    </w:p>
    <w:p>
      <w:pPr>
        <w:rPr>
          <w:rFonts w:ascii="仿宋" w:hAnsi="仿宋" w:eastAsia="仿宋"/>
          <w:sz w:val="30"/>
          <w:szCs w:val="30"/>
        </w:rPr>
      </w:pPr>
      <w:r>
        <w:rPr>
          <w:rFonts w:hint="eastAsia" w:ascii="仿宋" w:hAnsi="仿宋" w:eastAsia="仿宋"/>
          <w:sz w:val="30"/>
          <w:szCs w:val="30"/>
        </w:rPr>
        <w:t xml:space="preserve">    1、三公经费支出情况：2021年我单位“三公经费”共支出3.2万元。其中公务用车运行维护费3万元；公务接待费 0.2万元。</w:t>
      </w:r>
    </w:p>
    <w:p>
      <w:pPr>
        <w:rPr>
          <w:rFonts w:ascii="仿宋" w:hAnsi="仿宋" w:eastAsia="仿宋"/>
          <w:sz w:val="30"/>
          <w:szCs w:val="30"/>
        </w:rPr>
      </w:pPr>
      <w:r>
        <w:rPr>
          <w:rFonts w:hint="eastAsia" w:ascii="仿宋" w:hAnsi="仿宋" w:eastAsia="仿宋"/>
          <w:sz w:val="30"/>
          <w:szCs w:val="30"/>
        </w:rPr>
        <w:t xml:space="preserve">    2、会议费支出情况：无会议费支出</w:t>
      </w:r>
    </w:p>
    <w:p>
      <w:pPr>
        <w:rPr>
          <w:rFonts w:ascii="仿宋" w:hAnsi="仿宋" w:eastAsia="仿宋"/>
          <w:sz w:val="30"/>
          <w:szCs w:val="30"/>
        </w:rPr>
      </w:pPr>
      <w:r>
        <w:rPr>
          <w:rFonts w:hint="eastAsia" w:ascii="仿宋" w:hAnsi="仿宋" w:eastAsia="仿宋"/>
          <w:sz w:val="30"/>
          <w:szCs w:val="30"/>
        </w:rPr>
        <w:t xml:space="preserve">    3、 其他对本单位影响较大的支出情况：对本单位支出影响较大的支出主要有两项，一是人员经费，工资改革导致经费增加；</w:t>
      </w:r>
    </w:p>
    <w:p>
      <w:pPr>
        <w:rPr>
          <w:rFonts w:ascii="仿宋" w:hAnsi="仿宋" w:eastAsia="仿宋"/>
          <w:sz w:val="30"/>
          <w:szCs w:val="30"/>
        </w:rPr>
      </w:pPr>
      <w:r>
        <w:rPr>
          <w:rFonts w:hint="eastAsia" w:ascii="仿宋" w:hAnsi="仿宋" w:eastAsia="仿宋"/>
          <w:sz w:val="30"/>
          <w:szCs w:val="30"/>
        </w:rPr>
        <w:t xml:space="preserve">    4、重点经济分类支出中存在的问题及改进措施：无</w:t>
      </w:r>
    </w:p>
    <w:p>
      <w:pPr>
        <w:rPr>
          <w:rFonts w:ascii="仿宋" w:hAnsi="仿宋" w:eastAsia="仿宋"/>
          <w:b/>
          <w:sz w:val="30"/>
          <w:szCs w:val="30"/>
        </w:rPr>
      </w:pPr>
      <w:r>
        <w:rPr>
          <w:rFonts w:hint="eastAsia" w:ascii="仿宋" w:hAnsi="仿宋" w:eastAsia="仿宋"/>
          <w:b/>
          <w:sz w:val="30"/>
          <w:szCs w:val="30"/>
        </w:rPr>
        <w:t xml:space="preserve">  （五）年末结转和结余情况</w:t>
      </w:r>
    </w:p>
    <w:p>
      <w:pPr>
        <w:rPr>
          <w:rFonts w:ascii="仿宋" w:hAnsi="仿宋" w:eastAsia="仿宋"/>
          <w:sz w:val="30"/>
          <w:szCs w:val="30"/>
        </w:rPr>
      </w:pPr>
      <w:r>
        <w:rPr>
          <w:rFonts w:hint="eastAsia" w:ascii="仿宋" w:hAnsi="仿宋" w:eastAsia="仿宋"/>
          <w:sz w:val="30"/>
          <w:szCs w:val="30"/>
        </w:rPr>
        <w:t xml:space="preserve">    我单位 2021 年无结余。</w:t>
      </w:r>
    </w:p>
    <w:p>
      <w:pPr>
        <w:rPr>
          <w:rFonts w:ascii="仿宋" w:hAnsi="仿宋" w:eastAsia="仿宋"/>
          <w:sz w:val="30"/>
          <w:szCs w:val="30"/>
        </w:rPr>
      </w:pPr>
      <w:r>
        <w:rPr>
          <w:rFonts w:hint="eastAsia" w:ascii="仿宋" w:hAnsi="仿宋" w:eastAsia="仿宋"/>
          <w:b/>
          <w:sz w:val="30"/>
          <w:szCs w:val="30"/>
        </w:rPr>
        <w:t xml:space="preserve">  （六）当年预算执行中存在问题、原因及改进措施</w:t>
      </w:r>
      <w:r>
        <w:rPr>
          <w:rFonts w:hint="eastAsia" w:ascii="仿宋" w:hAnsi="仿宋" w:eastAsia="仿宋"/>
          <w:sz w:val="30"/>
          <w:szCs w:val="30"/>
        </w:rPr>
        <w:t>：预算执行中存在的问题就是财政公用经费定额标准偏低，导致经费经费仍然较为短缺。</w:t>
      </w:r>
    </w:p>
    <w:p>
      <w:pPr>
        <w:rPr>
          <w:rFonts w:ascii="仿宋" w:hAnsi="仿宋" w:eastAsia="仿宋"/>
          <w:b/>
          <w:sz w:val="30"/>
          <w:szCs w:val="30"/>
        </w:rPr>
      </w:pPr>
      <w:r>
        <w:rPr>
          <w:rFonts w:hint="eastAsia" w:ascii="仿宋" w:hAnsi="仿宋" w:eastAsia="仿宋"/>
          <w:b/>
          <w:sz w:val="30"/>
          <w:szCs w:val="30"/>
        </w:rPr>
        <w:t xml:space="preserve">    三、资产负债情况分析</w:t>
      </w:r>
    </w:p>
    <w:p>
      <w:pPr>
        <w:widowControl/>
        <w:spacing w:beforeLines="50"/>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2021年年末，我单位资产总额1755.26万元，比上年增加1.4%，其中：固定资产1191.67万元，占资产总量的67.86%，较上年增加2%；应付款类往来款679.35万元，比上年增加28%。</w:t>
      </w:r>
    </w:p>
    <w:p>
      <w:pPr>
        <w:rPr>
          <w:rFonts w:ascii="仿宋" w:hAnsi="仿宋" w:eastAsia="仿宋"/>
          <w:b/>
          <w:sz w:val="30"/>
          <w:szCs w:val="30"/>
        </w:rPr>
      </w:pPr>
      <w:r>
        <w:rPr>
          <w:rFonts w:hint="eastAsia" w:ascii="仿宋" w:hAnsi="仿宋" w:eastAsia="仿宋"/>
          <w:b/>
          <w:sz w:val="30"/>
          <w:szCs w:val="30"/>
        </w:rPr>
        <w:t xml:space="preserve">    四、名词解释</w:t>
      </w:r>
    </w:p>
    <w:p>
      <w:pPr>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财政拨款收入：指财政当年拨付的资金。</w:t>
      </w:r>
    </w:p>
    <w:p>
      <w:pPr>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基本支出：指为保障机构正常运转、完成日常工作任务而发生的人员支出和公用支出。</w:t>
      </w:r>
    </w:p>
    <w:p>
      <w:pPr>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项目支出：指在基本支出之外为完成特定任务和事业发展目标所发生的支出。年末结转和结余：指本年度或以前年度预算安排，因客观条件发生变化无法按原计划实施，需要延迟到以后年度按有关规定继续使用的资金。</w:t>
      </w:r>
    </w:p>
    <w:p>
      <w:pPr>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三公经费：是指部门用财政拨款安排的因公出（境）费，公务用车购置及运行费和公务接费。</w:t>
      </w:r>
    </w:p>
    <w:p>
      <w:pPr>
        <w:rPr>
          <w:rFonts w:ascii="仿宋" w:hAnsi="仿宋" w:eastAsia="仿宋"/>
          <w:b/>
          <w:sz w:val="30"/>
          <w:szCs w:val="30"/>
        </w:rPr>
      </w:pPr>
      <w:r>
        <w:rPr>
          <w:rFonts w:hint="eastAsia" w:ascii="仿宋" w:hAnsi="仿宋" w:eastAsia="仿宋"/>
          <w:b/>
          <w:sz w:val="30"/>
          <w:szCs w:val="30"/>
        </w:rPr>
        <w:t xml:space="preserve">    五、本年度部门决算等财务工作开展情况</w:t>
      </w:r>
    </w:p>
    <w:p>
      <w:pPr>
        <w:rPr>
          <w:rFonts w:ascii="仿宋" w:hAnsi="仿宋" w:eastAsia="仿宋"/>
          <w:b/>
          <w:sz w:val="30"/>
          <w:szCs w:val="30"/>
        </w:rPr>
      </w:pPr>
      <w:r>
        <w:rPr>
          <w:rFonts w:hint="eastAsia" w:ascii="仿宋" w:hAnsi="仿宋" w:eastAsia="仿宋"/>
          <w:b/>
          <w:sz w:val="30"/>
          <w:szCs w:val="30"/>
        </w:rPr>
        <w:t xml:space="preserve">    1、本单位财务管理、决算组织、编报、审核情况。</w:t>
      </w:r>
    </w:p>
    <w:p>
      <w:pPr>
        <w:rPr>
          <w:rFonts w:ascii="仿宋" w:hAnsi="仿宋" w:eastAsia="仿宋"/>
          <w:sz w:val="30"/>
          <w:szCs w:val="30"/>
        </w:rPr>
      </w:pPr>
      <w:r>
        <w:rPr>
          <w:rFonts w:hint="eastAsia" w:ascii="仿宋" w:hAnsi="仿宋" w:eastAsia="仿宋"/>
          <w:sz w:val="30"/>
          <w:szCs w:val="30"/>
        </w:rPr>
        <w:t xml:space="preserve">    2021 年，我单位严格遵守财务管理制度，认真坚持“收支”两条线，严格支付程序，特别是项目资金做到了专款专用，绝不挪用挤占，做到量入为出，节约支出，减少不必要的开支，让各项财政补贴资金规范运行，阳光操作，确保全局各项事业的正常运转。根据正宁县财政局关于编报 2021 年度部门决算报表的有关会议精神和财政预决算及财务会计管理有关制度规定，为做好我单位2021 年决算编报工作，全面、真实、准确地反映单位各项资金的使用情况与效益，我单位及时安排部署，并做好组织领导和协调工作，通过进一步理顺单位会计核算、财务管理、资产管理、人事管理等相关工作，全面总结年度财务收支、往来款项、资产负债、缴拨款项、机构人员和资金使用等情况，严格按照县财政局要求的规范决算流程，认真学习研究了财务决算系统，坚持“先审后汇”，严格审查上下年度数据衔接是否一致，各项收支是否完整准确，表内表间逻辑是否合理。并进一步健全了“账表一致性”核查机制，在报送决算报表的同时提供了我单位相关账簿和原始凭证，实现账表、账账、账实“三统一”，保证了单位决算中相关数据准确无误，切实提高了决算数据质量。</w:t>
      </w:r>
    </w:p>
    <w:p>
      <w:pPr>
        <w:rPr>
          <w:rFonts w:ascii="仿宋" w:hAnsi="仿宋" w:eastAsia="仿宋"/>
          <w:b/>
          <w:sz w:val="30"/>
          <w:szCs w:val="30"/>
        </w:rPr>
      </w:pPr>
      <w:r>
        <w:rPr>
          <w:rFonts w:hint="eastAsia" w:ascii="仿宋" w:hAnsi="仿宋" w:eastAsia="仿宋"/>
          <w:b/>
          <w:sz w:val="30"/>
          <w:szCs w:val="30"/>
        </w:rPr>
        <w:t xml:space="preserve">    2. 本单位决算公开工作情况。</w:t>
      </w:r>
    </w:p>
    <w:p>
      <w:pPr>
        <w:rPr>
          <w:rFonts w:ascii="仿宋" w:hAnsi="仿宋" w:eastAsia="仿宋"/>
          <w:sz w:val="30"/>
          <w:szCs w:val="30"/>
        </w:rPr>
      </w:pPr>
      <w:r>
        <w:rPr>
          <w:rFonts w:hint="eastAsia" w:ascii="仿宋" w:hAnsi="仿宋" w:eastAsia="仿宋"/>
          <w:sz w:val="30"/>
          <w:szCs w:val="30"/>
        </w:rPr>
        <w:t xml:space="preserve">   我单位 2021 年部门决算在财政局批复后，我们立即根据各级有关部门预决算公开的总体要求，按照下发的部门决算公开格式、公开内容，及时整理有关数据，按要求期限在县政务服务网进行了公开公示，接受社会各界监督。今后，我单位将继续按照各级的公开公示要求，继续做好部门决算公开工作。</w:t>
      </w:r>
    </w:p>
    <w:p>
      <w:pPr>
        <w:rPr>
          <w:rFonts w:ascii="仿宋" w:hAnsi="仿宋" w:eastAsia="仿宋"/>
          <w:sz w:val="30"/>
          <w:szCs w:val="30"/>
        </w:rPr>
      </w:pPr>
      <w:r>
        <w:rPr>
          <w:rFonts w:hint="eastAsia" w:ascii="仿宋" w:hAnsi="仿宋" w:eastAsia="仿宋"/>
          <w:b/>
          <w:sz w:val="30"/>
          <w:szCs w:val="30"/>
        </w:rPr>
        <w:t xml:space="preserve">    3 ．对部门（单位）决算管理及报表设计的意见建议。</w:t>
      </w:r>
      <w:r>
        <w:rPr>
          <w:rFonts w:hint="eastAsia" w:ascii="仿宋" w:hAnsi="仿宋" w:eastAsia="仿宋"/>
          <w:sz w:val="30"/>
          <w:szCs w:val="30"/>
        </w:rPr>
        <w:t>希望在能保证信息质量的基础上，进一步改善报表体系，增加自动提取，减少手工录入，同时也希望加强“金财工程”集中收付建设尽快实现与单位账务核算的无缝对接，进而实现报表数据的自动提取，减少单位工作压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2Y2FmNzQzMzFiMGI5ZjQxZGJkNTk3NzgzZDkxNWQifQ=="/>
  </w:docVars>
  <w:rsids>
    <w:rsidRoot w:val="00AA1F4C"/>
    <w:rsid w:val="000026DA"/>
    <w:rsid w:val="00003699"/>
    <w:rsid w:val="00045BD2"/>
    <w:rsid w:val="00050EBC"/>
    <w:rsid w:val="001147DA"/>
    <w:rsid w:val="001632B8"/>
    <w:rsid w:val="001C32B5"/>
    <w:rsid w:val="001C5979"/>
    <w:rsid w:val="001E2DBA"/>
    <w:rsid w:val="001E55D0"/>
    <w:rsid w:val="00212191"/>
    <w:rsid w:val="00280D87"/>
    <w:rsid w:val="00297B1E"/>
    <w:rsid w:val="002C6169"/>
    <w:rsid w:val="003179DA"/>
    <w:rsid w:val="00323654"/>
    <w:rsid w:val="0036112C"/>
    <w:rsid w:val="00372D38"/>
    <w:rsid w:val="00383013"/>
    <w:rsid w:val="003931CF"/>
    <w:rsid w:val="003A51D0"/>
    <w:rsid w:val="003B6EDC"/>
    <w:rsid w:val="003F69DE"/>
    <w:rsid w:val="00442C05"/>
    <w:rsid w:val="00442D87"/>
    <w:rsid w:val="00454393"/>
    <w:rsid w:val="00455317"/>
    <w:rsid w:val="00474946"/>
    <w:rsid w:val="0048508A"/>
    <w:rsid w:val="004976F5"/>
    <w:rsid w:val="004A4F99"/>
    <w:rsid w:val="004D5424"/>
    <w:rsid w:val="0051132F"/>
    <w:rsid w:val="005433F3"/>
    <w:rsid w:val="00564F38"/>
    <w:rsid w:val="00566AF1"/>
    <w:rsid w:val="005D6EE2"/>
    <w:rsid w:val="00686BA4"/>
    <w:rsid w:val="006D7388"/>
    <w:rsid w:val="00711A23"/>
    <w:rsid w:val="0079102F"/>
    <w:rsid w:val="007A5725"/>
    <w:rsid w:val="007A605F"/>
    <w:rsid w:val="007C2270"/>
    <w:rsid w:val="007C5332"/>
    <w:rsid w:val="007E4BC0"/>
    <w:rsid w:val="007E6840"/>
    <w:rsid w:val="007F54F6"/>
    <w:rsid w:val="007F5A05"/>
    <w:rsid w:val="00816434"/>
    <w:rsid w:val="00821140"/>
    <w:rsid w:val="00833CC3"/>
    <w:rsid w:val="00850CAE"/>
    <w:rsid w:val="00853BE2"/>
    <w:rsid w:val="00892F7E"/>
    <w:rsid w:val="008B5A96"/>
    <w:rsid w:val="00910EE0"/>
    <w:rsid w:val="009170D9"/>
    <w:rsid w:val="009A601D"/>
    <w:rsid w:val="009B1CC5"/>
    <w:rsid w:val="009E5144"/>
    <w:rsid w:val="00A160D1"/>
    <w:rsid w:val="00A90623"/>
    <w:rsid w:val="00A977EF"/>
    <w:rsid w:val="00AA1F4C"/>
    <w:rsid w:val="00B906FC"/>
    <w:rsid w:val="00BA4F8B"/>
    <w:rsid w:val="00BB150F"/>
    <w:rsid w:val="00C0662F"/>
    <w:rsid w:val="00C34691"/>
    <w:rsid w:val="00C572D8"/>
    <w:rsid w:val="00D37607"/>
    <w:rsid w:val="00D5742E"/>
    <w:rsid w:val="00DA082D"/>
    <w:rsid w:val="00DD2C99"/>
    <w:rsid w:val="00E04E2D"/>
    <w:rsid w:val="00E650C0"/>
    <w:rsid w:val="00E76395"/>
    <w:rsid w:val="00F06937"/>
    <w:rsid w:val="00F164F5"/>
    <w:rsid w:val="00F351A2"/>
    <w:rsid w:val="315D4100"/>
    <w:rsid w:val="37E82B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Char"/>
    <w:basedOn w:val="1"/>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微软公司</Company>
  <Pages>8</Pages>
  <Words>3638</Words>
  <Characters>3988</Characters>
  <Lines>31</Lines>
  <Paragraphs>8</Paragraphs>
  <TotalTime>999</TotalTime>
  <ScaleCrop>false</ScaleCrop>
  <LinksUpToDate>false</LinksUpToDate>
  <CharactersWithSpaces>4317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2022-08-31T09:14:00Z</dcterms:created>
  <dc:creator>微软用户</dc:creator>
  <cp:lastModifiedBy></cp:lastModifiedBy>
  <dcterms:modified xsi:type="dcterms:W3CDTF">2023-02-28T08:32:02Z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4DD88935767D4B1B9EA26E8701000D17</vt:lpwstr>
  </property>
</Properties>
</file>