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w:t>
      </w:r>
      <w:r>
        <w:rPr>
          <w:rFonts w:hint="eastAsia" w:ascii="方正小标宋简体" w:hAnsi="方正小标宋简体" w:eastAsia="方正小标宋简体" w:cs="方正小标宋简体"/>
          <w:sz w:val="44"/>
          <w:szCs w:val="44"/>
          <w:lang w:eastAsia="zh-CN"/>
        </w:rPr>
        <w:t>年正宁县农业农村局</w:t>
      </w:r>
      <w:r>
        <w:rPr>
          <w:rFonts w:hint="eastAsia" w:ascii="方正小标宋简体" w:hAnsi="方正小标宋简体" w:eastAsia="方正小标宋简体" w:cs="方正小标宋简体"/>
          <w:sz w:val="44"/>
          <w:szCs w:val="44"/>
        </w:rPr>
        <w:t>禁毒工作要点</w:t>
      </w:r>
    </w:p>
    <w:p>
      <w:pPr>
        <w:jc w:val="center"/>
        <w:rPr>
          <w:rFonts w:hint="eastAsia" w:ascii="仿宋_GB2312" w:hAnsi="仿宋_GB2312" w:eastAsia="仿宋_GB2312" w:cs="仿宋_GB2312"/>
          <w:sz w:val="34"/>
          <w:szCs w:val="3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2022年是党的二十大召开之年，是踏上全面建设社会主义现代化国家新征程、向着实现第二个百年奋斗目标迈进的至关重要的一年，做好禁毒工作具有特殊重要意义。</w:t>
      </w:r>
      <w:r>
        <w:rPr>
          <w:rFonts w:hint="eastAsia" w:ascii="仿宋_GB2312" w:hAnsi="仿宋_GB2312" w:eastAsia="仿宋_GB2312" w:cs="仿宋_GB2312"/>
          <w:sz w:val="34"/>
          <w:szCs w:val="34"/>
          <w:lang w:eastAsia="zh-CN"/>
        </w:rPr>
        <w:t>农业农村系统</w:t>
      </w:r>
      <w:r>
        <w:rPr>
          <w:rFonts w:hint="eastAsia" w:ascii="仿宋_GB2312" w:hAnsi="仿宋_GB2312" w:eastAsia="仿宋_GB2312" w:cs="仿宋_GB2312"/>
          <w:sz w:val="34"/>
          <w:szCs w:val="34"/>
        </w:rPr>
        <w:t>禁毒工作要以习近平新时代中国特色社会主义思想为指导，深入贯彻党的十九大和十九届历次全会精神，深入贯彻习近平总书记关于禁毒工作重要指示精神和党中央决策部署，捍卫“两个确立”，增强“四个意识”、坚定“四个自信”、做到“两个维护”，紧紧围绕做好党的二十大安保维稳主线,坚持以人民为中心，坚持稳字当头、稳中求进，坚持下先手棋、打主动仗，坚持完善分类指导、分类施策，按照省、市禁毒委和县委县政府部署要求，坚持整体发力、系统治理，着力加强党的领导、压紧压实责任，着力推进清源断流、深化源头治理，着力整治突出问题、防范重大风险，全面推动</w:t>
      </w:r>
      <w:r>
        <w:rPr>
          <w:rFonts w:hint="eastAsia" w:ascii="仿宋_GB2312" w:hAnsi="仿宋_GB2312" w:eastAsia="仿宋_GB2312" w:cs="仿宋_GB2312"/>
          <w:sz w:val="34"/>
          <w:szCs w:val="34"/>
          <w:lang w:eastAsia="zh-CN"/>
        </w:rPr>
        <w:t>我局</w:t>
      </w:r>
      <w:r>
        <w:rPr>
          <w:rFonts w:hint="eastAsia" w:ascii="仿宋_GB2312" w:hAnsi="仿宋_GB2312" w:eastAsia="仿宋_GB2312" w:cs="仿宋_GB2312"/>
          <w:sz w:val="34"/>
          <w:szCs w:val="34"/>
        </w:rPr>
        <w:t>禁毒工作高质量发展，努力为建设更高水平的平安正宁营造良好氛围，以优异成绩迎接党的二十大胜利召开。</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黑体" w:hAnsi="黑体" w:eastAsia="黑体" w:cs="黑体"/>
          <w:sz w:val="34"/>
          <w:szCs w:val="34"/>
        </w:rPr>
      </w:pPr>
      <w:r>
        <w:rPr>
          <w:rFonts w:hint="eastAsia" w:ascii="黑体" w:hAnsi="黑体" w:eastAsia="黑体" w:cs="黑体"/>
          <w:sz w:val="34"/>
          <w:szCs w:val="34"/>
          <w:lang w:eastAsia="zh-CN"/>
        </w:rPr>
        <w:t>一</w:t>
      </w:r>
      <w:r>
        <w:rPr>
          <w:rFonts w:hint="eastAsia" w:ascii="黑体" w:hAnsi="黑体" w:eastAsia="黑体" w:cs="黑体"/>
          <w:sz w:val="34"/>
          <w:szCs w:val="34"/>
        </w:rPr>
        <w:t>、</w:t>
      </w:r>
      <w:r>
        <w:rPr>
          <w:rFonts w:hint="eastAsia" w:ascii="黑体" w:hAnsi="黑体" w:eastAsia="黑体" w:cs="黑体"/>
          <w:sz w:val="34"/>
          <w:szCs w:val="34"/>
          <w:lang w:eastAsia="zh-CN"/>
        </w:rPr>
        <w:t>强化兽用严管药品监管，规范生产经营秩序</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b/>
          <w:bCs/>
          <w:sz w:val="34"/>
          <w:szCs w:val="34"/>
          <w:lang w:val="en-US" w:eastAsia="zh-CN"/>
        </w:rPr>
        <w:t>1.加强严管兽药排查。</w:t>
      </w:r>
      <w:r>
        <w:rPr>
          <w:rFonts w:hint="eastAsia" w:ascii="仿宋_GB2312" w:hAnsi="仿宋_GB2312" w:eastAsia="仿宋_GB2312" w:cs="仿宋_GB2312"/>
          <w:sz w:val="34"/>
          <w:szCs w:val="34"/>
          <w:lang w:val="en-US" w:eastAsia="zh-CN"/>
        </w:rPr>
        <w:t>加强兽用盐酸麻黄碱注射液、兽用盐酸氯胺酮注射液、兽用复方氯胺酮注射液、兽用安钠咖注射液等兽用严管药品(以下简称“严管兽药品种”)、易制毒化学品监管，在生产、经营环节组织开展严管兽药品种排查。</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2.加强对兽药生产企业检查。</w:t>
      </w:r>
      <w:r>
        <w:rPr>
          <w:rFonts w:hint="eastAsia" w:ascii="仿宋_GB2312" w:hAnsi="仿宋_GB2312" w:eastAsia="仿宋_GB2312" w:cs="仿宋_GB2312"/>
          <w:sz w:val="34"/>
          <w:szCs w:val="34"/>
          <w:lang w:val="en-US" w:eastAsia="zh-CN"/>
        </w:rPr>
        <w:t>严格落实兽药生产各项管理制度，执行兽药二维码追溯管理，规范兽药追溯数据，严防非法生产，严管兽药品种。目前，国家没有核发“兽用安钠咖注射液”等兽用安钠咖相关兽药生产批准文号，凡标识为“兽用安钠咖注射液”产品均为非法生产经营的假冒产品。</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3.强化经营环境监管。</w:t>
      </w:r>
      <w:r>
        <w:rPr>
          <w:rFonts w:hint="eastAsia" w:ascii="仿宋_GB2312" w:hAnsi="仿宋_GB2312" w:eastAsia="仿宋_GB2312" w:cs="仿宋_GB2312"/>
          <w:sz w:val="34"/>
          <w:szCs w:val="34"/>
          <w:lang w:val="en-US" w:eastAsia="zh-CN"/>
        </w:rPr>
        <w:t>引导兽药经营主体从有资质的兽药生产(经营)企业采购兽药，全面实施兽药经营企业二维码追溯，严格按照严管兽药品种管理规定和要求进行购销、存储、记录。</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b/>
          <w:bCs/>
          <w:sz w:val="34"/>
          <w:szCs w:val="34"/>
          <w:lang w:val="en-US" w:eastAsia="zh-CN"/>
        </w:rPr>
        <w:t>4.加强动物诊疗经营单位检查。</w:t>
      </w:r>
      <w:r>
        <w:rPr>
          <w:rFonts w:hint="eastAsia" w:ascii="仿宋_GB2312" w:hAnsi="仿宋_GB2312" w:eastAsia="仿宋_GB2312" w:cs="仿宋_GB2312"/>
          <w:sz w:val="34"/>
          <w:szCs w:val="34"/>
          <w:lang w:val="en-US" w:eastAsia="zh-CN"/>
        </w:rPr>
        <w:t>全面落实兽用盐酸氯胺酮注射液等严管兽药品种管理制度，督促兽药经营企业建立健全严管兽药品种管理制度，落实专人专管、专柜加锁、专用帐册、单独处方、专册登记等管理制度。要加强日常监督检查和随机抽查，对违反规定擅自生产、经营、使用的单位和责任人要依据《兽药管理条例》《兽用麻醉药品供应、使用、管理办法》等法规和规定严肃处理。</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二、坚决打击毒品原植物种植，全面加强源头治理</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5.强化党政主责主导。</w:t>
      </w:r>
      <w:r>
        <w:rPr>
          <w:rFonts w:hint="eastAsia" w:ascii="仿宋_GB2312" w:hAnsi="仿宋_GB2312" w:eastAsia="仿宋_GB2312" w:cs="仿宋_GB2312"/>
          <w:sz w:val="34"/>
          <w:szCs w:val="34"/>
          <w:lang w:eastAsia="zh-CN"/>
        </w:rPr>
        <w:t>全面</w:t>
      </w:r>
      <w:r>
        <w:rPr>
          <w:rFonts w:hint="eastAsia" w:ascii="仿宋_GB2312" w:hAnsi="仿宋_GB2312" w:eastAsia="仿宋_GB2312" w:cs="仿宋_GB2312"/>
          <w:sz w:val="34"/>
          <w:szCs w:val="34"/>
        </w:rPr>
        <w:t>落实禁毒工作领导责任制</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将禁种铲毒工作纳入农业农村安全生产和春耕生产督导检查内容，与安全生产、春耕生产同部署、同落实，明确责任分工，全面部署排查，坚决遏制毒品原植物种植。</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b/>
          <w:bCs/>
          <w:sz w:val="34"/>
          <w:szCs w:val="34"/>
          <w:lang w:val="en-US" w:eastAsia="zh-CN"/>
        </w:rPr>
        <w:t>6.加大检查力度。</w:t>
      </w:r>
      <w:r>
        <w:rPr>
          <w:rFonts w:hint="eastAsia" w:ascii="仿宋_GB2312" w:hAnsi="仿宋_GB2312" w:eastAsia="仿宋_GB2312" w:cs="仿宋_GB2312"/>
          <w:sz w:val="34"/>
          <w:szCs w:val="34"/>
          <w:lang w:val="en-US" w:eastAsia="zh-CN"/>
        </w:rPr>
        <w:t>要结合春季农业生产督导检查、农资市场执法检查，配合公安机关开展对农区特别是边远地区非法种植毒品原植物的踏查铲除行动，坚决杜绝毒品原植物的非法种植。要加大对企业、合作社、农户种植和养殖的农业设施以及出租的农业设施和场地的巡查力度，严防不法分子以农业生产为掩护从事与毒品相关的违法活动。要统筹安排力量，紧盯重点对象，组织田间种植排查和督导检查。</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sz w:val="34"/>
          <w:szCs w:val="34"/>
        </w:rPr>
      </w:pPr>
      <w:r>
        <w:rPr>
          <w:rFonts w:hint="eastAsia" w:ascii="仿宋_GB2312" w:hAnsi="仿宋_GB2312" w:eastAsia="仿宋_GB2312" w:cs="仿宋_GB2312"/>
          <w:b/>
          <w:bCs/>
          <w:sz w:val="34"/>
          <w:szCs w:val="34"/>
          <w:lang w:val="en-US" w:eastAsia="zh-CN"/>
        </w:rPr>
        <w:t>7.加强制种监管。</w:t>
      </w:r>
      <w:r>
        <w:rPr>
          <w:rFonts w:hint="eastAsia" w:ascii="仿宋_GB2312" w:hAnsi="仿宋_GB2312" w:eastAsia="仿宋_GB2312" w:cs="仿宋_GB2312"/>
          <w:sz w:val="34"/>
          <w:szCs w:val="34"/>
          <w:lang w:val="en-US" w:eastAsia="zh-CN"/>
        </w:rPr>
        <w:t>严防制种企业、单位或个人以制种为名繁种毒品原植物，加大对玉米、蔬菜、花卉制种基地随机检查力度，结合种子生产基地转基因专项检查，对制种企业、单位的亲本种子来源渠道、储存仓库、销售登记情况等进行抽查，从源头上规范生产行为。要结合春秋季种子市场专项检查，对种子生产经营企业(门店)生产经营档案、委托代销备案、经营不分装种子备案等进行检查，严防通过种子经销渠道隐藏销售毒品的行为。要结合企业许可现场审查制度，向企业宣传禁毒法律法规和相关要求，增强企业法制观念和依法开展生产经营活动的意识。</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黑体" w:hAnsi="黑体" w:eastAsia="黑体" w:cs="黑体"/>
          <w:sz w:val="34"/>
          <w:szCs w:val="34"/>
        </w:rPr>
      </w:pPr>
      <w:r>
        <w:rPr>
          <w:rFonts w:hint="eastAsia" w:ascii="黑体" w:hAnsi="黑体" w:eastAsia="黑体" w:cs="黑体"/>
          <w:sz w:val="34"/>
          <w:szCs w:val="34"/>
          <w:lang w:eastAsia="zh-CN"/>
        </w:rPr>
        <w:t>三</w:t>
      </w:r>
      <w:r>
        <w:rPr>
          <w:rFonts w:hint="eastAsia" w:ascii="黑体" w:hAnsi="黑体" w:eastAsia="黑体" w:cs="黑体"/>
          <w:sz w:val="34"/>
          <w:szCs w:val="34"/>
        </w:rPr>
        <w:t>、重视禁毒预防宣传，全面提升公众防范能力</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sz w:val="34"/>
          <w:szCs w:val="34"/>
        </w:rPr>
      </w:pPr>
      <w:r>
        <w:rPr>
          <w:rFonts w:hint="eastAsia" w:ascii="仿宋_GB2312" w:hAnsi="仿宋_GB2312" w:eastAsia="仿宋_GB2312" w:cs="仿宋_GB2312"/>
          <w:b/>
          <w:bCs/>
          <w:sz w:val="34"/>
          <w:szCs w:val="34"/>
          <w:lang w:val="en-US" w:eastAsia="zh-CN"/>
        </w:rPr>
        <w:t>8.推进全民宣传教育。</w:t>
      </w:r>
      <w:r>
        <w:rPr>
          <w:rFonts w:hint="eastAsia" w:ascii="仿宋_GB2312" w:hAnsi="仿宋_GB2312" w:eastAsia="仿宋_GB2312" w:cs="仿宋_GB2312"/>
          <w:sz w:val="34"/>
          <w:szCs w:val="34"/>
        </w:rPr>
        <w:t>全面落实《关于加强新时代全民禁毒宣传教育工作的指导意见》，发挥好禁毒宣讲员的优势作用，</w:t>
      </w:r>
      <w:r>
        <w:rPr>
          <w:rFonts w:hint="eastAsia" w:ascii="仿宋_GB2312" w:hAnsi="仿宋_GB2312" w:eastAsia="仿宋_GB2312" w:cs="仿宋_GB2312"/>
          <w:sz w:val="34"/>
          <w:szCs w:val="34"/>
          <w:lang w:eastAsia="zh-CN"/>
        </w:rPr>
        <w:t>组织</w:t>
      </w:r>
      <w:r>
        <w:rPr>
          <w:rFonts w:hint="eastAsia" w:ascii="仿宋_GB2312" w:hAnsi="仿宋_GB2312" w:eastAsia="仿宋_GB2312" w:cs="仿宋_GB2312"/>
          <w:sz w:val="34"/>
          <w:szCs w:val="34"/>
        </w:rPr>
        <w:t>开展“禁毒宣传进万家”活动，推动禁毒宣传进农村、进社区、进场所、进家庭、进林区。精心策划开展全民禁毒宣传月、“6·26”国际禁毒日等节点宣传活动，广泛宣传新时代禁毒工作成效，持续营造“健康人生、绿色无毒”的社会氛围。</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sz w:val="34"/>
          <w:szCs w:val="34"/>
        </w:rPr>
      </w:pPr>
      <w:r>
        <w:rPr>
          <w:rFonts w:hint="eastAsia" w:ascii="仿宋_GB2312" w:hAnsi="仿宋_GB2312" w:eastAsia="仿宋_GB2312" w:cs="仿宋_GB2312"/>
          <w:b/>
          <w:bCs/>
          <w:sz w:val="34"/>
          <w:szCs w:val="34"/>
          <w:lang w:val="en-US" w:eastAsia="zh-CN"/>
        </w:rPr>
        <w:t>9.突出宣传教育重点。</w:t>
      </w:r>
      <w:r>
        <w:rPr>
          <w:rFonts w:hint="eastAsia" w:ascii="仿宋_GB2312" w:hAnsi="仿宋_GB2312" w:eastAsia="仿宋_GB2312" w:cs="仿宋_GB2312"/>
          <w:sz w:val="34"/>
          <w:szCs w:val="34"/>
        </w:rPr>
        <w:t>持续扩大禁毒</w:t>
      </w:r>
      <w:r>
        <w:rPr>
          <w:rFonts w:hint="eastAsia" w:ascii="仿宋_GB2312" w:hAnsi="仿宋_GB2312" w:eastAsia="仿宋_GB2312" w:cs="仿宋_GB2312"/>
          <w:sz w:val="34"/>
          <w:szCs w:val="34"/>
          <w:lang w:eastAsia="zh-CN"/>
        </w:rPr>
        <w:t>宣传</w:t>
      </w:r>
      <w:r>
        <w:rPr>
          <w:rFonts w:hint="eastAsia" w:ascii="仿宋_GB2312" w:hAnsi="仿宋_GB2312" w:eastAsia="仿宋_GB2312" w:cs="仿宋_GB2312"/>
          <w:sz w:val="34"/>
          <w:szCs w:val="34"/>
        </w:rPr>
        <w:t>覆盖面，面向农村</w:t>
      </w:r>
      <w:r>
        <w:rPr>
          <w:rFonts w:hint="eastAsia" w:ascii="仿宋_GB2312" w:hAnsi="仿宋_GB2312" w:eastAsia="仿宋_GB2312" w:cs="仿宋_GB2312"/>
          <w:sz w:val="34"/>
          <w:szCs w:val="34"/>
          <w:lang w:eastAsia="zh-CN"/>
        </w:rPr>
        <w:t>群众、</w:t>
      </w:r>
      <w:r>
        <w:rPr>
          <w:rFonts w:hint="eastAsia" w:ascii="仿宋_GB2312" w:hAnsi="仿宋_GB2312" w:eastAsia="仿宋_GB2312" w:cs="仿宋_GB2312"/>
          <w:sz w:val="34"/>
          <w:szCs w:val="34"/>
        </w:rPr>
        <w:t>留守儿童等</w:t>
      </w:r>
      <w:r>
        <w:rPr>
          <w:rFonts w:hint="eastAsia" w:ascii="仿宋_GB2312" w:hAnsi="仿宋_GB2312" w:eastAsia="仿宋_GB2312" w:cs="仿宋_GB2312"/>
          <w:sz w:val="34"/>
          <w:szCs w:val="34"/>
          <w:lang w:eastAsia="zh-CN"/>
        </w:rPr>
        <w:t>农村</w:t>
      </w:r>
      <w:r>
        <w:rPr>
          <w:rFonts w:hint="eastAsia" w:ascii="仿宋_GB2312" w:hAnsi="仿宋_GB2312" w:eastAsia="仿宋_GB2312" w:cs="仿宋_GB2312"/>
          <w:sz w:val="34"/>
          <w:szCs w:val="34"/>
        </w:rPr>
        <w:t>重点群体，开展针对性、常态化毒品预防教育。深入开展农村禁毒宣传教育，</w:t>
      </w:r>
      <w:r>
        <w:rPr>
          <w:rFonts w:hint="eastAsia" w:ascii="仿宋_GB2312" w:hAnsi="仿宋_GB2312" w:eastAsia="仿宋_GB2312" w:cs="仿宋_GB2312"/>
          <w:sz w:val="34"/>
          <w:szCs w:val="34"/>
          <w:lang w:eastAsia="zh-CN"/>
        </w:rPr>
        <w:t>利用</w:t>
      </w:r>
      <w:r>
        <w:rPr>
          <w:rFonts w:hint="eastAsia" w:ascii="仿宋_GB2312" w:hAnsi="仿宋_GB2312" w:eastAsia="仿宋_GB2312" w:cs="仿宋_GB2312"/>
          <w:sz w:val="34"/>
          <w:szCs w:val="34"/>
        </w:rPr>
        <w:t>农村禁毒宣传阵地，全谱系、全类别、全方位宣传禁毒知识。</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sz w:val="34"/>
          <w:szCs w:val="34"/>
        </w:rPr>
      </w:pPr>
      <w:r>
        <w:rPr>
          <w:rFonts w:hint="eastAsia" w:ascii="仿宋_GB2312" w:hAnsi="仿宋_GB2312" w:eastAsia="仿宋_GB2312" w:cs="仿宋_GB2312"/>
          <w:b/>
          <w:bCs/>
          <w:sz w:val="34"/>
          <w:szCs w:val="34"/>
          <w:lang w:val="en-US" w:eastAsia="zh-CN"/>
        </w:rPr>
        <w:t>10.全面宣传《甘肃省禁毒条例》。</w:t>
      </w:r>
      <w:r>
        <w:rPr>
          <w:rFonts w:hint="eastAsia" w:ascii="仿宋_GB2312" w:hAnsi="仿宋_GB2312" w:eastAsia="仿宋_GB2312" w:cs="仿宋_GB2312"/>
          <w:sz w:val="34"/>
          <w:szCs w:val="34"/>
        </w:rPr>
        <w:t>运用</w:t>
      </w:r>
      <w:r>
        <w:rPr>
          <w:rFonts w:hint="eastAsia" w:ascii="仿宋_GB2312" w:hAnsi="仿宋_GB2312" w:eastAsia="仿宋_GB2312" w:cs="仿宋_GB2312"/>
          <w:sz w:val="34"/>
          <w:szCs w:val="34"/>
          <w:lang w:eastAsia="zh-CN"/>
        </w:rPr>
        <w:t>微信公众号、公告栏、宣传彩页等方</w:t>
      </w:r>
      <w:r>
        <w:rPr>
          <w:rFonts w:hint="eastAsia" w:ascii="仿宋_GB2312" w:hAnsi="仿宋_GB2312" w:eastAsia="仿宋_GB2312" w:cs="仿宋_GB2312"/>
          <w:sz w:val="34"/>
          <w:szCs w:val="34"/>
        </w:rPr>
        <w:t>式，向</w:t>
      </w:r>
      <w:r>
        <w:rPr>
          <w:rFonts w:hint="eastAsia" w:ascii="仿宋_GB2312" w:hAnsi="仿宋_GB2312" w:eastAsia="仿宋_GB2312" w:cs="仿宋_GB2312"/>
          <w:sz w:val="34"/>
          <w:szCs w:val="34"/>
          <w:lang w:eastAsia="zh-CN"/>
        </w:rPr>
        <w:t>机关干部、农村群众</w:t>
      </w:r>
      <w:r>
        <w:rPr>
          <w:rFonts w:hint="eastAsia" w:ascii="仿宋_GB2312" w:hAnsi="仿宋_GB2312" w:eastAsia="仿宋_GB2312" w:cs="仿宋_GB2312"/>
          <w:sz w:val="34"/>
          <w:szCs w:val="34"/>
        </w:rPr>
        <w:t>大力宣传《条例》颁布实施的重要意义和主要内容，全面掀起学习宣传、贯彻实施热潮，从根本上预防毒品问题。</w:t>
      </w:r>
    </w:p>
    <w:p>
      <w:pPr>
        <w:pStyle w:val="2"/>
        <w:keepNext w:val="0"/>
        <w:keepLines w:val="0"/>
        <w:pageBreakBefore w:val="0"/>
        <w:widowControl w:val="0"/>
        <w:kinsoku/>
        <w:wordWrap/>
        <w:overflowPunct/>
        <w:topLinePunct w:val="0"/>
        <w:bidi w:val="0"/>
        <w:snapToGrid/>
        <w:spacing w:line="580" w:lineRule="exact"/>
        <w:ind w:left="0" w:leftChars="0" w:firstLine="0" w:firstLineChars="0"/>
        <w:textAlignment w:val="auto"/>
        <w:rPr>
          <w:rFonts w:hint="eastAsia" w:ascii="仿宋_GB2312" w:eastAsia="仿宋_GB2312"/>
          <w:sz w:val="34"/>
          <w:szCs w:val="34"/>
        </w:rPr>
      </w:pPr>
    </w:p>
    <w:p>
      <w:pPr>
        <w:pStyle w:val="2"/>
        <w:keepNext w:val="0"/>
        <w:keepLines w:val="0"/>
        <w:pageBreakBefore w:val="0"/>
        <w:widowControl w:val="0"/>
        <w:kinsoku/>
        <w:wordWrap/>
        <w:overflowPunct/>
        <w:topLinePunct w:val="0"/>
        <w:bidi w:val="0"/>
        <w:snapToGrid/>
        <w:spacing w:line="580" w:lineRule="exact"/>
        <w:ind w:left="0" w:leftChars="0" w:firstLine="0" w:firstLineChars="0"/>
        <w:textAlignment w:val="auto"/>
        <w:rPr>
          <w:rFonts w:hint="eastAsia" w:ascii="仿宋_GB2312" w:eastAsia="仿宋_GB2312"/>
          <w:sz w:val="34"/>
          <w:szCs w:val="34"/>
        </w:rPr>
      </w:pPr>
    </w:p>
    <w:p>
      <w:pPr>
        <w:pStyle w:val="2"/>
        <w:keepNext w:val="0"/>
        <w:keepLines w:val="0"/>
        <w:pageBreakBefore w:val="0"/>
        <w:widowControl w:val="0"/>
        <w:kinsoku/>
        <w:wordWrap/>
        <w:overflowPunct/>
        <w:topLinePunct w:val="0"/>
        <w:bidi w:val="0"/>
        <w:snapToGrid/>
        <w:spacing w:line="580" w:lineRule="exact"/>
        <w:ind w:left="0" w:leftChars="0" w:firstLine="0" w:firstLineChars="0"/>
        <w:textAlignment w:val="auto"/>
        <w:rPr>
          <w:rFonts w:hint="eastAsia" w:ascii="仿宋_GB2312" w:eastAsia="仿宋_GB2312"/>
          <w:sz w:val="34"/>
          <w:szCs w:val="34"/>
        </w:rPr>
      </w:pPr>
    </w:p>
    <w:p>
      <w:pPr>
        <w:pStyle w:val="2"/>
        <w:keepNext w:val="0"/>
        <w:keepLines w:val="0"/>
        <w:pageBreakBefore w:val="0"/>
        <w:widowControl w:val="0"/>
        <w:kinsoku/>
        <w:wordWrap/>
        <w:overflowPunct/>
        <w:topLinePunct w:val="0"/>
        <w:bidi w:val="0"/>
        <w:snapToGrid/>
        <w:spacing w:line="580" w:lineRule="exact"/>
        <w:ind w:left="0" w:leftChars="0" w:firstLine="0" w:firstLineChars="0"/>
        <w:textAlignment w:val="auto"/>
        <w:rPr>
          <w:rFonts w:hint="eastAsia" w:ascii="仿宋_GB2312" w:eastAsia="仿宋_GB2312"/>
          <w:sz w:val="34"/>
          <w:szCs w:val="34"/>
        </w:rPr>
      </w:pPr>
    </w:p>
    <w:p>
      <w:pPr>
        <w:pStyle w:val="2"/>
        <w:keepNext w:val="0"/>
        <w:keepLines w:val="0"/>
        <w:pageBreakBefore w:val="0"/>
        <w:widowControl w:val="0"/>
        <w:kinsoku/>
        <w:wordWrap/>
        <w:overflowPunct/>
        <w:topLinePunct w:val="0"/>
        <w:bidi w:val="0"/>
        <w:snapToGrid/>
        <w:spacing w:line="580" w:lineRule="exact"/>
        <w:ind w:left="0" w:leftChars="0" w:firstLine="0" w:firstLineChars="0"/>
        <w:textAlignment w:val="auto"/>
        <w:rPr>
          <w:rFonts w:hint="eastAsia" w:ascii="仿宋_GB2312" w:eastAsia="仿宋_GB2312"/>
          <w:sz w:val="34"/>
          <w:szCs w:val="34"/>
        </w:rPr>
      </w:pPr>
    </w:p>
    <w:p>
      <w:pPr>
        <w:pStyle w:val="2"/>
        <w:keepNext w:val="0"/>
        <w:keepLines w:val="0"/>
        <w:pageBreakBefore w:val="0"/>
        <w:widowControl w:val="0"/>
        <w:kinsoku/>
        <w:wordWrap/>
        <w:overflowPunct/>
        <w:topLinePunct w:val="0"/>
        <w:bidi w:val="0"/>
        <w:snapToGrid/>
        <w:spacing w:line="580" w:lineRule="exact"/>
        <w:ind w:left="0" w:leftChars="0" w:firstLine="0" w:firstLineChars="0"/>
        <w:textAlignment w:val="auto"/>
        <w:rPr>
          <w:rFonts w:hint="eastAsia" w:ascii="仿宋_GB2312" w:eastAsia="仿宋_GB2312"/>
          <w:sz w:val="34"/>
          <w:szCs w:val="34"/>
        </w:rPr>
      </w:pPr>
    </w:p>
    <w:p>
      <w:pPr>
        <w:pStyle w:val="2"/>
        <w:keepNext w:val="0"/>
        <w:keepLines w:val="0"/>
        <w:pageBreakBefore w:val="0"/>
        <w:widowControl w:val="0"/>
        <w:kinsoku/>
        <w:wordWrap/>
        <w:overflowPunct/>
        <w:topLinePunct w:val="0"/>
        <w:bidi w:val="0"/>
        <w:snapToGrid/>
        <w:spacing w:line="580" w:lineRule="exact"/>
        <w:ind w:left="0" w:leftChars="0" w:firstLine="0" w:firstLineChars="0"/>
        <w:textAlignment w:val="auto"/>
        <w:rPr>
          <w:rFonts w:hint="eastAsia" w:ascii="仿宋_GB2312" w:eastAsia="仿宋_GB2312"/>
          <w:sz w:val="34"/>
          <w:szCs w:val="34"/>
        </w:rPr>
      </w:pPr>
    </w:p>
    <w:tbl>
      <w:tblPr>
        <w:tblStyle w:val="5"/>
        <w:tblW w:w="90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020" w:type="dxa"/>
            <w:tcBorders>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ind w:right="-332" w:rightChars="-158"/>
              <w:textAlignment w:val="auto"/>
              <w:rPr>
                <w:rFonts w:ascii="仿宋_GB2312" w:eastAsia="仿宋_GB2312"/>
                <w:sz w:val="34"/>
                <w:szCs w:val="34"/>
              </w:rPr>
            </w:pPr>
            <w:r>
              <w:rPr>
                <w:rFonts w:hint="eastAsia" w:ascii="仿宋_GB2312" w:eastAsia="仿宋_GB2312"/>
                <w:sz w:val="34"/>
                <w:szCs w:val="34"/>
              </w:rPr>
              <w:t>正宁县农业农村局</w:t>
            </w:r>
            <w:r>
              <w:rPr>
                <w:rFonts w:ascii="仿宋_GB2312" w:eastAsia="仿宋_GB2312"/>
                <w:sz w:val="34"/>
                <w:szCs w:val="34"/>
              </w:rPr>
              <w:t xml:space="preserve">        </w:t>
            </w:r>
            <w:r>
              <w:rPr>
                <w:rFonts w:hint="eastAsia" w:ascii="仿宋_GB2312" w:eastAsia="仿宋_GB2312"/>
                <w:sz w:val="34"/>
                <w:szCs w:val="34"/>
                <w:lang w:val="en-US" w:eastAsia="zh-CN"/>
              </w:rPr>
              <w:t xml:space="preserve">        </w:t>
            </w:r>
            <w:r>
              <w:rPr>
                <w:rFonts w:ascii="仿宋_GB2312" w:eastAsia="仿宋_GB2312"/>
                <w:sz w:val="34"/>
                <w:szCs w:val="34"/>
              </w:rPr>
              <w:t>20</w:t>
            </w:r>
            <w:r>
              <w:rPr>
                <w:rFonts w:hint="eastAsia" w:ascii="仿宋_GB2312" w:eastAsia="仿宋_GB2312"/>
                <w:sz w:val="34"/>
                <w:szCs w:val="34"/>
                <w:lang w:val="en-US" w:eastAsia="zh-CN"/>
              </w:rPr>
              <w:t>22</w:t>
            </w:r>
            <w:r>
              <w:rPr>
                <w:rFonts w:hint="eastAsia" w:ascii="仿宋_GB2312" w:eastAsia="仿宋_GB2312"/>
                <w:sz w:val="34"/>
                <w:szCs w:val="34"/>
              </w:rPr>
              <w:t>年</w:t>
            </w:r>
            <w:r>
              <w:rPr>
                <w:rFonts w:hint="eastAsia" w:ascii="仿宋_GB2312" w:eastAsia="仿宋_GB2312"/>
                <w:sz w:val="34"/>
                <w:szCs w:val="34"/>
                <w:lang w:val="en-US" w:eastAsia="zh-CN"/>
              </w:rPr>
              <w:t>6</w:t>
            </w:r>
            <w:r>
              <w:rPr>
                <w:rFonts w:hint="eastAsia" w:ascii="仿宋_GB2312" w:eastAsia="仿宋_GB2312"/>
                <w:sz w:val="34"/>
                <w:szCs w:val="34"/>
              </w:rPr>
              <w:t>月</w:t>
            </w:r>
            <w:r>
              <w:rPr>
                <w:rFonts w:hint="eastAsia" w:ascii="仿宋_GB2312" w:eastAsia="仿宋_GB2312"/>
                <w:sz w:val="34"/>
                <w:szCs w:val="34"/>
                <w:lang w:val="en-US" w:eastAsia="zh-CN"/>
              </w:rPr>
              <w:t>10</w:t>
            </w:r>
            <w:r>
              <w:rPr>
                <w:rFonts w:hint="eastAsia" w:ascii="仿宋_GB2312" w:eastAsia="仿宋_GB2312"/>
                <w:sz w:val="34"/>
                <w:szCs w:val="34"/>
              </w:rPr>
              <w:t>日印发</w:t>
            </w:r>
          </w:p>
        </w:tc>
      </w:tr>
    </w:tbl>
    <w:p>
      <w:pPr>
        <w:keepNext w:val="0"/>
        <w:keepLines w:val="0"/>
        <w:pageBreakBefore w:val="0"/>
        <w:widowControl w:val="0"/>
        <w:kinsoku/>
        <w:wordWrap/>
        <w:overflowPunct/>
        <w:topLinePunct w:val="0"/>
        <w:bidi w:val="0"/>
        <w:snapToGrid/>
        <w:spacing w:line="580" w:lineRule="exact"/>
        <w:jc w:val="right"/>
        <w:textAlignment w:val="auto"/>
        <w:rPr>
          <w:rFonts w:hint="eastAsia" w:ascii="仿宋_GB2312" w:hAnsi="仿宋_GB2312" w:eastAsia="仿宋_GB2312" w:cs="仿宋_GB2312"/>
          <w:sz w:val="34"/>
          <w:szCs w:val="34"/>
        </w:rPr>
      </w:pPr>
      <w:r>
        <w:rPr>
          <w:rFonts w:hint="eastAsia" w:ascii="仿宋_GB2312" w:eastAsia="仿宋_GB2312"/>
          <w:sz w:val="34"/>
          <w:szCs w:val="34"/>
        </w:rPr>
        <w:t>共印</w:t>
      </w:r>
      <w:r>
        <w:rPr>
          <w:rFonts w:ascii="仿宋_GB2312" w:eastAsia="仿宋_GB2312"/>
          <w:sz w:val="34"/>
          <w:szCs w:val="34"/>
        </w:rPr>
        <w:t>15</w:t>
      </w:r>
      <w:r>
        <w:rPr>
          <w:rFonts w:hint="eastAsia" w:ascii="仿宋_GB2312" w:eastAsia="仿宋_GB2312"/>
          <w:sz w:val="34"/>
          <w:szCs w:val="34"/>
        </w:rPr>
        <w:t>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2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E-BX">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MDk1NGM4MzhkZWI1MmQ0Yjc1MjU2MjNmMjRhY2UifQ=="/>
  </w:docVars>
  <w:rsids>
    <w:rsidRoot w:val="783D6FD8"/>
    <w:rsid w:val="0248028E"/>
    <w:rsid w:val="158C63A6"/>
    <w:rsid w:val="1FF12A08"/>
    <w:rsid w:val="24CD647B"/>
    <w:rsid w:val="2DDB624B"/>
    <w:rsid w:val="38446292"/>
    <w:rsid w:val="400D7F39"/>
    <w:rsid w:val="49C2161D"/>
    <w:rsid w:val="54CE2200"/>
    <w:rsid w:val="6506677D"/>
    <w:rsid w:val="66577140"/>
    <w:rsid w:val="6A8258AC"/>
    <w:rsid w:val="74201375"/>
    <w:rsid w:val="783D6FD8"/>
    <w:rsid w:val="7B981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ind w:left="2557"/>
      <w:jc w:val="left"/>
    </w:pPr>
    <w:rPr>
      <w:rFonts w:ascii="宋体" w:cs="宋体"/>
      <w:kern w:val="0"/>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1928</Words>
  <Characters>1965</Characters>
  <Lines>0</Lines>
  <Paragraphs>0</Paragraphs>
  <TotalTime>5</TotalTime>
  <ScaleCrop>false</ScaleCrop>
  <LinksUpToDate>false</LinksUpToDate>
  <CharactersWithSpaces>1981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2022-04-14T02:26:00Z</dcterms:created>
  <dc:creator>～天下留不住青春^O^</dc:creator>
  <cp:lastModifiedBy>心囿雑惗</cp:lastModifiedBy>
  <dcterms:modified xsi:type="dcterms:W3CDTF">2023-02-28T11:25:49Z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54C607CD33D94973A35DEA91E89AC8DA</vt:lpwstr>
  </property>
</Properties>
</file>