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0"/>
          <w:kern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0"/>
          <w:kern w:val="0"/>
          <w:sz w:val="44"/>
          <w:szCs w:val="44"/>
          <w:lang w:eastAsia="zh-CN"/>
        </w:rPr>
        <w:t>三嘉乡：推行“三制一化”，打造乡村治理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spacing w:val="0"/>
          <w:kern w:val="0"/>
          <w:sz w:val="32"/>
          <w:szCs w:val="32"/>
          <w:highlight w:val="yellow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0"/>
          <w:kern w:val="0"/>
          <w:sz w:val="44"/>
          <w:szCs w:val="44"/>
          <w:lang w:eastAsia="zh-CN"/>
        </w:rPr>
        <w:t>新格局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pacing w:val="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pacing w:val="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0"/>
          <w:kern w:val="0"/>
          <w:sz w:val="32"/>
          <w:szCs w:val="32"/>
          <w:lang w:eastAsia="zh-CN"/>
        </w:rPr>
        <w:t>乡村治、百姓安、天下稳。今年以来，三嘉乡围绕“把群众组织起来”这个关键，积极推行“积分制”“清单制”“院落制”，以“数字化”赋能乡村治理，推动健全自治、法治、德治、数治“四治融合”的治理体系，促进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pacing w:val="0"/>
          <w:kern w:val="0"/>
          <w:sz w:val="32"/>
          <w:szCs w:val="32"/>
          <w:lang w:eastAsia="zh-CN"/>
        </w:rPr>
        <w:t>了乡村发展、提升了治理能力，密切了干群关系，走出一条党建引领、因地制宜、共建共享的乡村治理新路径。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bidi="ar"/>
        </w:rPr>
      </w:pPr>
      <w:r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</w:rPr>
        <w:t>“积分制”</w:t>
      </w:r>
      <w:r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  <w:t>激发治理活力</w:t>
      </w:r>
      <w:r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pacing w:val="0"/>
          <w:kern w:val="0"/>
          <w:sz w:val="32"/>
          <w:szCs w:val="32"/>
          <w:lang w:eastAsia="zh-CN"/>
        </w:rPr>
        <w:t>持续推广“东庄模式”，以物质奖励和精神激励为载体，指导各村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bidi="ar"/>
        </w:rPr>
        <w:t>建办积分超市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val="en-US" w:eastAsia="zh-CN" w:bidi="ar"/>
        </w:rPr>
        <w:t>7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bidi="ar"/>
        </w:rPr>
        <w:t>个，</w:t>
      </w:r>
      <w:r>
        <w:rPr>
          <w:rFonts w:hint="eastAsia" w:ascii="仿宋_GB2312" w:hAnsi="仿宋_GB2312" w:eastAsia="仿宋_GB2312" w:cs="仿宋_GB2312"/>
          <w:spacing w:val="0"/>
          <w:kern w:val="0"/>
          <w:sz w:val="32"/>
          <w:szCs w:val="32"/>
          <w:lang w:eastAsia="zh-CN"/>
        </w:rPr>
        <w:t>按照“做好自己有积分、帮助他人有积分、参与公益有积分、产业发展有积分”的原则设立</w:t>
      </w:r>
      <w:r>
        <w:rPr>
          <w:rFonts w:hint="eastAsia" w:ascii="仿宋_GB2312" w:hAnsi="仿宋_GB2312" w:eastAsia="仿宋_GB2312" w:cs="仿宋_GB2312"/>
          <w:spacing w:val="0"/>
          <w:kern w:val="0"/>
          <w:sz w:val="32"/>
          <w:szCs w:val="32"/>
          <w:lang w:val="en-US" w:eastAsia="zh-CN"/>
        </w:rPr>
        <w:t>5类42个</w:t>
      </w:r>
      <w:r>
        <w:rPr>
          <w:rFonts w:hint="eastAsia" w:ascii="仿宋_GB2312" w:hAnsi="仿宋_GB2312" w:eastAsia="仿宋_GB2312" w:cs="仿宋_GB2312"/>
          <w:spacing w:val="0"/>
          <w:kern w:val="0"/>
          <w:sz w:val="32"/>
          <w:szCs w:val="32"/>
          <w:lang w:eastAsia="zh-CN"/>
        </w:rPr>
        <w:t>积分项目，成立评议、监督、管理</w:t>
      </w:r>
      <w:r>
        <w:rPr>
          <w:rFonts w:hint="eastAsia" w:ascii="仿宋_GB2312" w:hAnsi="仿宋_GB2312" w:eastAsia="仿宋_GB2312" w:cs="仿宋_GB2312"/>
          <w:spacing w:val="0"/>
          <w:kern w:val="0"/>
          <w:sz w:val="32"/>
          <w:szCs w:val="32"/>
          <w:lang w:val="en-US" w:eastAsia="zh-CN"/>
        </w:rPr>
        <w:t>3个小组，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  <w:t>创新奖励方式，量化考核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highlight w:val="none"/>
          <w:lang w:eastAsia="zh-CN" w:bidi="ar"/>
        </w:rPr>
        <w:t>指标，将积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  <w:t>分标准正负结合，打破“做好做坏一个样”的“大锅饭”形式，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bidi="ar"/>
        </w:rPr>
        <w:t>鼓励群众以“善举换积分”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  <w:t>、以“积分兑物品”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bidi="ar"/>
        </w:rPr>
        <w:t>，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  <w:t>用积分“攒”出乡村好风气。目前，已开展兑换活动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val="en-US" w:eastAsia="zh-CN" w:bidi="ar"/>
        </w:rPr>
        <w:t>15场（次），发放食用油、大米、复合肥、农用地膜等物资330余份，群众爱村爱家、乐于助人、整洁环境的主动意识日益高涨，人人参与的共建共治共享格局逐步形成。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67310</wp:posOffset>
            </wp:positionV>
            <wp:extent cx="2750185" cy="2060575"/>
            <wp:effectExtent l="0" t="0" r="12065" b="15875"/>
            <wp:wrapNone/>
            <wp:docPr id="2" name="图片 2" descr="e88a448bec167bb6b0001edf267ec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8a448bec167bb6b0001edf267ece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60325</wp:posOffset>
            </wp:positionV>
            <wp:extent cx="2953385" cy="2063115"/>
            <wp:effectExtent l="0" t="0" r="18415" b="13335"/>
            <wp:wrapNone/>
            <wp:docPr id="1" name="图片 1" descr="mmexport169959805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6995980528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-941705</wp:posOffset>
            </wp:positionH>
            <wp:positionV relativeFrom="paragraph">
              <wp:posOffset>-623570</wp:posOffset>
            </wp:positionV>
            <wp:extent cx="3630295" cy="2042795"/>
            <wp:effectExtent l="0" t="0" r="8255" b="14605"/>
            <wp:wrapNone/>
            <wp:docPr id="16" name="图片 16" descr="4dcb4a472098310ce6dbc4f26a4e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dcb4a472098310ce6dbc4f26a4ef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029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-623570</wp:posOffset>
            </wp:positionV>
            <wp:extent cx="3716655" cy="2091055"/>
            <wp:effectExtent l="0" t="0" r="17145" b="4445"/>
            <wp:wrapNone/>
            <wp:docPr id="17" name="图片 17" descr="2fc729cedf0872c8e53ec0a68d8fc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fc729cedf0872c8e53ec0a68d8fcf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snapToGrid w:val="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  <w:t>“清单制”提升治理效能。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  <w:t>为切实解决服务事项不清、监督无章可循等问题，三嘉乡注重地域特点、结合村情民情，积极推广运用乡村治理清单制，着力减轻村级组织负担、提高乡村治理效能。紧盯群众关心关注的身边事，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val="en-US" w:eastAsia="zh-CN" w:bidi="ar"/>
        </w:rPr>
        <w:t>通过建立小微权力、村级事务、公共服务、证明出具、负面事项“五张清单”，细化27项具体内容，绘制6方面运行流程图，并健全组织生活、议事协商、村民自治等各项制度机制，明确了村级组织工作职责，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  <w:t>让村干部履职有依据、干事有“标尺”，办事能够办到群众的“心坎上”，同时，清理不应由村级组织承担的事项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val="en-US" w:eastAsia="zh-CN" w:bidi="ar"/>
        </w:rPr>
        <w:t>26个，严格清单准入机制，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  <w:t>总体减负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val="en-US" w:eastAsia="zh-CN" w:bidi="ar"/>
        </w:rPr>
        <w:t>30%以上，逐步实现“松绑减压”、轻装上阵。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11430</wp:posOffset>
            </wp:positionV>
            <wp:extent cx="4283075" cy="3212465"/>
            <wp:effectExtent l="0" t="0" r="3175" b="6985"/>
            <wp:wrapNone/>
            <wp:docPr id="3" name="图片 3" descr="66c3edfa7302a89b945d6372c40d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c3edfa7302a89b945d6372c40da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307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snapToGrid w:val="0"/>
          <w:spacing w:val="0"/>
          <w:kern w:val="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  <w:t>“小园制”彰显治理内涵。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/>
        </w:rPr>
        <w:t>今年，三嘉乡在打造东庄村乡村建设示范村过程中，</w:t>
      </w:r>
      <w:r>
        <w:rPr>
          <w:rFonts w:ascii="仿宋_GB2312" w:hAnsi="仿宋_GB2312" w:eastAsia="仿宋_GB2312" w:cs="仿宋_GB2312"/>
          <w:snapToGrid w:val="0"/>
          <w:spacing w:val="0"/>
          <w:kern w:val="0"/>
          <w:sz w:val="32"/>
          <w:szCs w:val="32"/>
        </w:rPr>
        <w:t>因地制宜，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/>
        </w:rPr>
        <w:t>尊重群众意愿，</w:t>
      </w:r>
      <w:r>
        <w:rPr>
          <w:rFonts w:ascii="仿宋_GB2312" w:hAnsi="仿宋_GB2312" w:eastAsia="仿宋_GB2312" w:cs="仿宋_GB2312"/>
          <w:snapToGrid w:val="0"/>
          <w:spacing w:val="0"/>
          <w:kern w:val="0"/>
          <w:sz w:val="32"/>
          <w:szCs w:val="32"/>
        </w:rPr>
        <w:t>不搞大拆大建，通过“微改造、巧植入、精提升”的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/>
        </w:rPr>
        <w:t>方式</w:t>
      </w:r>
      <w:r>
        <w:rPr>
          <w:rFonts w:ascii="仿宋_GB2312" w:hAnsi="仿宋_GB2312" w:eastAsia="仿宋_GB2312" w:cs="仿宋_GB2312"/>
          <w:snapToGrid w:val="0"/>
          <w:spacing w:val="0"/>
          <w:kern w:val="0"/>
          <w:sz w:val="32"/>
          <w:szCs w:val="32"/>
        </w:rPr>
        <w:t>，将村庄建设与传统文化、红色历史、文明新风等内涵相结合，建成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/>
        </w:rPr>
        <w:t>维信（</w:t>
      </w:r>
      <w:r>
        <w:rPr>
          <w:rFonts w:ascii="仿宋_GB2312" w:hAnsi="仿宋_GB2312" w:eastAsia="仿宋_GB2312" w:cs="仿宋_GB2312"/>
          <w:snapToGrid w:val="0"/>
          <w:spacing w:val="0"/>
          <w:kern w:val="0"/>
          <w:sz w:val="32"/>
          <w:szCs w:val="32"/>
        </w:rPr>
        <w:t>党建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/>
        </w:rPr>
        <w:t>）</w:t>
      </w:r>
      <w:r>
        <w:rPr>
          <w:rFonts w:ascii="仿宋_GB2312" w:hAnsi="仿宋_GB2312" w:eastAsia="仿宋_GB2312" w:cs="仿宋_GB2312"/>
          <w:snapToGrid w:val="0"/>
          <w:spacing w:val="0"/>
          <w:kern w:val="0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/>
        </w:rPr>
        <w:t>承春（</w:t>
      </w:r>
      <w:r>
        <w:rPr>
          <w:rFonts w:ascii="仿宋_GB2312" w:hAnsi="仿宋_GB2312" w:eastAsia="仿宋_GB2312" w:cs="仿宋_GB2312"/>
          <w:snapToGrid w:val="0"/>
          <w:spacing w:val="0"/>
          <w:kern w:val="0"/>
          <w:sz w:val="32"/>
          <w:szCs w:val="32"/>
        </w:rPr>
        <w:t>生态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/>
        </w:rPr>
        <w:t>）</w:t>
      </w:r>
      <w:r>
        <w:rPr>
          <w:rFonts w:ascii="仿宋_GB2312" w:hAnsi="仿宋_GB2312" w:eastAsia="仿宋_GB2312" w:cs="仿宋_GB2312"/>
          <w:snapToGrid w:val="0"/>
          <w:spacing w:val="0"/>
          <w:kern w:val="0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/>
        </w:rPr>
        <w:t>悬平（法治）、思齐（</w:t>
      </w:r>
      <w:r>
        <w:rPr>
          <w:rFonts w:ascii="仿宋_GB2312" w:hAnsi="仿宋_GB2312" w:eastAsia="仿宋_GB2312" w:cs="仿宋_GB2312"/>
          <w:snapToGrid w:val="0"/>
          <w:spacing w:val="0"/>
          <w:kern w:val="0"/>
          <w:sz w:val="32"/>
          <w:szCs w:val="32"/>
        </w:rPr>
        <w:t>乡贤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/>
        </w:rPr>
        <w:t>）</w:t>
      </w:r>
      <w:r>
        <w:rPr>
          <w:rFonts w:ascii="仿宋_GB2312" w:hAnsi="仿宋_GB2312" w:eastAsia="仿宋_GB2312" w:cs="仿宋_GB2312"/>
          <w:snapToGrid w:val="0"/>
          <w:spacing w:val="0"/>
          <w:kern w:val="0"/>
          <w:sz w:val="32"/>
          <w:szCs w:val="32"/>
        </w:rPr>
        <w:t>等13个特色小园，做到“一园一主题，园园有特色”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/>
        </w:rPr>
        <w:t>；</w:t>
      </w:r>
      <w:r>
        <w:rPr>
          <w:rFonts w:ascii="仿宋_GB2312" w:hAnsi="仿宋_GB2312" w:eastAsia="仿宋_GB2312" w:cs="仿宋_GB2312"/>
          <w:spacing w:val="0"/>
          <w:kern w:val="0"/>
          <w:sz w:val="32"/>
          <w:szCs w:val="32"/>
        </w:rPr>
        <w:t>在醒目位置布设5个板块</w:t>
      </w:r>
      <w:r>
        <w:rPr>
          <w:rFonts w:hint="eastAsia" w:ascii="仿宋_GB2312" w:hAnsi="仿宋_GB2312" w:eastAsia="仿宋_GB2312" w:cs="仿宋_GB2312"/>
          <w:spacing w:val="0"/>
          <w:kern w:val="0"/>
          <w:sz w:val="32"/>
          <w:szCs w:val="32"/>
          <w:lang w:eastAsia="zh-CN"/>
        </w:rPr>
        <w:t>展示村训、家训</w:t>
      </w:r>
      <w:r>
        <w:rPr>
          <w:rFonts w:ascii="仿宋_GB2312" w:hAnsi="仿宋_GB2312" w:eastAsia="仿宋_GB2312" w:cs="仿宋_GB2312"/>
          <w:spacing w:val="0"/>
          <w:kern w:val="0"/>
          <w:sz w:val="32"/>
          <w:szCs w:val="32"/>
        </w:rPr>
        <w:t>，</w:t>
      </w:r>
      <w:r>
        <w:rPr>
          <w:rFonts w:ascii="仿宋_GB2312" w:hAnsi="仿宋_GB2312" w:eastAsia="仿宋_GB2312" w:cs="仿宋_GB2312"/>
          <w:snapToGrid w:val="0"/>
          <w:spacing w:val="0"/>
          <w:kern w:val="0"/>
          <w:sz w:val="32"/>
          <w:szCs w:val="32"/>
        </w:rPr>
        <w:t>用主流价值</w:t>
      </w:r>
      <w:r>
        <w:rPr>
          <w:rFonts w:hint="default" w:ascii="仿宋_GB2312" w:hAnsi="仿宋_GB2312" w:eastAsia="仿宋_GB2312" w:cs="仿宋_GB2312"/>
          <w:snapToGrid w:val="0"/>
          <w:spacing w:val="0"/>
          <w:kern w:val="0"/>
          <w:sz w:val="32"/>
          <w:szCs w:val="32"/>
        </w:rPr>
        <w:t>推动移风易俗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/>
        </w:rPr>
        <w:t>；</w:t>
      </w:r>
      <w:r>
        <w:rPr>
          <w:rFonts w:ascii="仿宋_GB2312" w:hAnsi="仿宋_GB2312" w:eastAsia="仿宋_GB2312" w:cs="仿宋_GB2312"/>
          <w:spacing w:val="0"/>
          <w:kern w:val="0"/>
          <w:sz w:val="32"/>
          <w:szCs w:val="32"/>
        </w:rPr>
        <w:t>选定威望高、品德好的党员群众、乡贤能人</w:t>
      </w:r>
      <w:r>
        <w:rPr>
          <w:rFonts w:hint="eastAsia" w:ascii="仿宋_GB2312" w:hAnsi="仿宋_GB2312" w:eastAsia="仿宋_GB2312" w:cs="仿宋_GB2312"/>
          <w:spacing w:val="0"/>
          <w:kern w:val="0"/>
          <w:sz w:val="32"/>
          <w:szCs w:val="32"/>
          <w:lang w:eastAsia="zh-CN"/>
        </w:rPr>
        <w:t>作为“园长”，结合乡土民情、群众需求，参与“特色小园”的方案设计、内容布展，督促周边群众定期清理园内卫生、维护小园环境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/>
        </w:rPr>
        <w:t>；同时，在各“小园”内</w:t>
      </w:r>
      <w:r>
        <w:rPr>
          <w:rFonts w:ascii="仿宋_GB2312" w:hAnsi="仿宋_GB2312" w:eastAsia="仿宋_GB2312" w:cs="仿宋_GB2312"/>
          <w:spacing w:val="0"/>
          <w:kern w:val="0"/>
          <w:sz w:val="32"/>
          <w:szCs w:val="32"/>
        </w:rPr>
        <w:t>张榜东庄村典型人物、先进事迹82个，用身边人、身边事教育群众见贤思齐、</w:t>
      </w:r>
      <w:r>
        <w:rPr>
          <w:rFonts w:ascii="仿宋_GB2312" w:hAnsi="仿宋_GB2312" w:eastAsia="仿宋_GB2312" w:cs="仿宋_GB2312"/>
          <w:snapToGrid w:val="0"/>
          <w:spacing w:val="0"/>
          <w:kern w:val="0"/>
          <w:sz w:val="32"/>
          <w:szCs w:val="32"/>
        </w:rPr>
        <w:t>崇德向善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/>
        </w:rPr>
        <w:t>，形成“人人做好事，人人想上榜”的乡风正气</w:t>
      </w:r>
      <w:r>
        <w:rPr>
          <w:rFonts w:hint="default" w:ascii="仿宋_GB2312" w:hAnsi="仿宋_GB2312" w:eastAsia="仿宋_GB2312" w:cs="仿宋_GB2312"/>
          <w:snapToGrid w:val="0"/>
          <w:spacing w:val="0"/>
          <w:kern w:val="0"/>
          <w:sz w:val="32"/>
          <w:szCs w:val="32"/>
        </w:rPr>
        <w:t>。</w:t>
      </w:r>
    </w:p>
    <w:p>
      <w:pPr>
        <w:pStyle w:val="2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38735</wp:posOffset>
            </wp:positionV>
            <wp:extent cx="5033645" cy="2831465"/>
            <wp:effectExtent l="0" t="0" r="14605" b="6985"/>
            <wp:wrapNone/>
            <wp:docPr id="5" name="图片 5" descr="d50ebe6e58fafe3e37c84396a46c6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50ebe6e58fafe3e37c84396a46c63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/>
        </w:rPr>
      </w:pPr>
    </w:p>
    <w:p>
      <w:pPr>
        <w:pStyle w:val="2"/>
        <w:rPr>
          <w:rFonts w:hint="default" w:ascii="仿宋_GB2312" w:hAnsi="仿宋_GB2312" w:eastAsia="仿宋_GB2312" w:cs="仿宋_GB2312"/>
          <w:snapToGrid w:val="0"/>
          <w:spacing w:val="0"/>
          <w:kern w:val="0"/>
          <w:sz w:val="32"/>
          <w:szCs w:val="32"/>
        </w:rPr>
      </w:pPr>
    </w:p>
    <w:p>
      <w:pPr>
        <w:pStyle w:val="2"/>
        <w:rPr>
          <w:rFonts w:hint="default" w:ascii="仿宋_GB2312" w:hAnsi="仿宋_GB2312" w:eastAsia="仿宋_GB2312" w:cs="仿宋_GB2312"/>
          <w:snapToGrid w:val="0"/>
          <w:spacing w:val="0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34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34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142240</wp:posOffset>
            </wp:positionV>
            <wp:extent cx="3479165" cy="2172335"/>
            <wp:effectExtent l="0" t="0" r="6985" b="18415"/>
            <wp:wrapNone/>
            <wp:docPr id="8" name="图片 8" descr="3ad6bd317a116e79b0f157fb6ca9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ad6bd317a116e79b0f157fb6ca96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194310</wp:posOffset>
            </wp:positionV>
            <wp:extent cx="3789680" cy="2156460"/>
            <wp:effectExtent l="0" t="0" r="1270" b="15240"/>
            <wp:wrapNone/>
            <wp:docPr id="14" name="图片 14" descr="02ba4f359ceb73fcfab0077551e0d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2ba4f359ceb73fcfab0077551e0d1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34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34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34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2614930</wp:posOffset>
            </wp:positionH>
            <wp:positionV relativeFrom="paragraph">
              <wp:posOffset>-630555</wp:posOffset>
            </wp:positionV>
            <wp:extent cx="3921125" cy="2205990"/>
            <wp:effectExtent l="0" t="0" r="3175" b="3810"/>
            <wp:wrapNone/>
            <wp:docPr id="15" name="图片 15" descr="b307b4a3bc0bb7f05d7fb0e59ab10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307b4a3bc0bb7f05d7fb0e59ab10c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-926465</wp:posOffset>
            </wp:positionH>
            <wp:positionV relativeFrom="paragraph">
              <wp:posOffset>-607695</wp:posOffset>
            </wp:positionV>
            <wp:extent cx="3878580" cy="2181860"/>
            <wp:effectExtent l="0" t="0" r="7620" b="8890"/>
            <wp:wrapNone/>
            <wp:docPr id="13" name="图片 13" descr="addbfcfd9161b5dbc422ca367ca9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ddbfcfd9161b5dbc422ca367ca999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34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34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val="en-US" w:eastAsia="zh-CN"/>
        </w:rPr>
        <w:t xml:space="preserve"> 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34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34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34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2806700</wp:posOffset>
            </wp:positionH>
            <wp:positionV relativeFrom="paragraph">
              <wp:posOffset>67945</wp:posOffset>
            </wp:positionV>
            <wp:extent cx="3522345" cy="2643505"/>
            <wp:effectExtent l="0" t="0" r="1905" b="4445"/>
            <wp:wrapNone/>
            <wp:docPr id="6" name="图片 6" descr="688990c61bc0a3cd14a178b5886e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88990c61bc0a3cd14a178b5886e99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234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95250</wp:posOffset>
            </wp:positionV>
            <wp:extent cx="3737610" cy="2578100"/>
            <wp:effectExtent l="0" t="0" r="15240" b="12700"/>
            <wp:wrapNone/>
            <wp:docPr id="9" name="图片 9" descr="d828c8d75f88c6b0726e02a43c721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828c8d75f88c6b0726e02a43c721e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34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0" w:firstLineChars="0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34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34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34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34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0" w:firstLineChars="0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34"/>
        <w:textAlignment w:val="auto"/>
        <w:rPr>
          <w:rFonts w:hint="default"/>
          <w:spacing w:val="0"/>
          <w:kern w:val="0"/>
          <w:sz w:val="32"/>
        </w:rPr>
      </w:pPr>
      <w:r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  <w:t>“数字化”创新治理模式。</w:t>
      </w:r>
      <w:r>
        <w:rPr>
          <w:rFonts w:hint="eastAsia" w:eastAsia="仿宋_GB2312" w:asciiTheme="minorHAnsi" w:cstheme="minorBidi"/>
          <w:bCs/>
          <w:spacing w:val="0"/>
          <w:kern w:val="2"/>
          <w:sz w:val="32"/>
          <w:szCs w:val="32"/>
          <w:lang w:val="en-US" w:eastAsia="zh-CN" w:bidi="ar-SA"/>
        </w:rPr>
        <w:t>以“数字乡村”建设为抓手，有效整合数据资源，打造集村务管理、便民服务、安全生产、主动创稳、关爱服务等功能于一体的“智慧三嘉”管理平台。</w:t>
      </w:r>
      <w:r>
        <w:rPr>
          <w:rFonts w:ascii="仿宋_GB2312" w:hAnsi="仿宋_GB2312" w:eastAsia="仿宋_GB2312" w:cs="仿宋_GB2312"/>
          <w:snapToGrid w:val="0"/>
          <w:spacing w:val="0"/>
          <w:kern w:val="0"/>
          <w:sz w:val="32"/>
          <w:lang w:bidi="ar"/>
        </w:rPr>
        <w:t>在主干道及人员密集</w:t>
      </w: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lang w:eastAsia="zh-CN" w:bidi="ar"/>
        </w:rPr>
        <w:t>处</w:t>
      </w:r>
      <w:r>
        <w:rPr>
          <w:rFonts w:ascii="仿宋_GB2312" w:hAnsi="仿宋_GB2312" w:eastAsia="仿宋_GB2312" w:cs="仿宋_GB2312"/>
          <w:snapToGrid w:val="0"/>
          <w:spacing w:val="0"/>
          <w:kern w:val="0"/>
          <w:sz w:val="32"/>
          <w:lang w:bidi="ar"/>
        </w:rPr>
        <w:t>安装视频监控47个、</w:t>
      </w:r>
      <w:r>
        <w:rPr>
          <w:rFonts w:hint="default" w:ascii="Times New Roman" w:hAnsi="Times New Roman" w:eastAsia="仿宋_GB2312" w:cs="Times New Roman"/>
          <w:b w:val="0"/>
          <w:snapToGrid w:val="0"/>
          <w:spacing w:val="0"/>
          <w:kern w:val="0"/>
          <w:sz w:val="32"/>
          <w:szCs w:val="32"/>
          <w:lang w:val="en-US" w:eastAsia="zh-CN" w:bidi="ar"/>
        </w:rPr>
        <w:t>特困供养户</w:t>
      </w:r>
      <w:r>
        <w:rPr>
          <w:rFonts w:hint="eastAsia" w:ascii="Times New Roman" w:hAnsi="Times New Roman" w:eastAsia="仿宋_GB2312" w:cs="Times New Roman"/>
          <w:b w:val="0"/>
          <w:snapToGrid w:val="0"/>
          <w:spacing w:val="0"/>
          <w:kern w:val="0"/>
          <w:sz w:val="32"/>
          <w:szCs w:val="32"/>
          <w:lang w:val="en-US" w:eastAsia="zh-CN" w:bidi="ar"/>
        </w:rPr>
        <w:t>安全</w:t>
      </w:r>
      <w:r>
        <w:rPr>
          <w:rFonts w:hint="default" w:ascii="Times New Roman" w:hAnsi="Times New Roman" w:eastAsia="仿宋_GB2312" w:cs="Times New Roman"/>
          <w:b w:val="0"/>
          <w:snapToGrid w:val="0"/>
          <w:spacing w:val="0"/>
          <w:kern w:val="0"/>
          <w:sz w:val="32"/>
          <w:szCs w:val="32"/>
          <w:lang w:val="en-US" w:eastAsia="zh-CN" w:bidi="ar"/>
        </w:rPr>
        <w:t>监控</w:t>
      </w:r>
      <w:r>
        <w:rPr>
          <w:rFonts w:hint="eastAsia" w:ascii="Times New Roman" w:hAnsi="Times New Roman" w:eastAsia="仿宋_GB2312" w:cs="Times New Roman"/>
          <w:b w:val="0"/>
          <w:snapToGrid w:val="0"/>
          <w:spacing w:val="0"/>
          <w:kern w:val="0"/>
          <w:sz w:val="32"/>
          <w:szCs w:val="32"/>
          <w:lang w:val="en-US" w:eastAsia="zh-CN" w:bidi="ar"/>
        </w:rPr>
        <w:t>18个、</w:t>
      </w:r>
      <w:r>
        <w:rPr>
          <w:rFonts w:ascii="仿宋_GB2312" w:hAnsi="仿宋_GB2312" w:eastAsia="仿宋_GB2312" w:cs="仿宋_GB2312"/>
          <w:snapToGrid w:val="0"/>
          <w:spacing w:val="0"/>
          <w:kern w:val="0"/>
          <w:sz w:val="32"/>
          <w:lang w:bidi="ar"/>
        </w:rPr>
        <w:t>布设森林</w:t>
      </w:r>
      <w:r>
        <w:rPr>
          <w:rFonts w:hint="default" w:ascii="Times New Roman" w:hAnsi="Times New Roman" w:eastAsia="仿宋_GB2312"/>
          <w:snapToGrid w:val="0"/>
          <w:spacing w:val="0"/>
          <w:kern w:val="0"/>
          <w:sz w:val="32"/>
          <w:lang w:bidi="ar"/>
        </w:rPr>
        <w:t>防火AI识别系统9处，</w:t>
      </w:r>
      <w:r>
        <w:rPr>
          <w:rFonts w:hint="eastAsia" w:ascii="Times New Roman" w:hAnsi="Times New Roman" w:eastAsia="仿宋_GB2312"/>
          <w:snapToGrid w:val="0"/>
          <w:spacing w:val="0"/>
          <w:kern w:val="0"/>
          <w:sz w:val="32"/>
          <w:lang w:eastAsia="zh-CN" w:bidi="ar"/>
        </w:rPr>
        <w:t>同时搭建应急指挥体系，远程布防、事件回溯，实现辖区治安防控、安全防范“全覆盖、无死角”；通过“云广播”模块及时</w:t>
      </w:r>
      <w:r>
        <w:rPr>
          <w:rFonts w:ascii="Times New Roman" w:hAnsi="Times New Roman" w:eastAsia="仿宋_GB2312"/>
          <w:snapToGrid w:val="0"/>
          <w:spacing w:val="0"/>
          <w:kern w:val="0"/>
          <w:sz w:val="32"/>
          <w:lang w:bidi="ar"/>
        </w:rPr>
        <w:t>发布招工信息、政务动态</w:t>
      </w:r>
      <w:r>
        <w:rPr>
          <w:rFonts w:hint="eastAsia" w:ascii="Times New Roman" w:hAnsi="Times New Roman" w:eastAsia="仿宋_GB2312"/>
          <w:snapToGrid w:val="0"/>
          <w:spacing w:val="0"/>
          <w:kern w:val="0"/>
          <w:sz w:val="32"/>
          <w:lang w:eastAsia="zh-CN" w:bidi="ar"/>
        </w:rPr>
        <w:t>、天气预警等信息</w:t>
      </w:r>
      <w:r>
        <w:rPr>
          <w:rFonts w:ascii="Times New Roman" w:hAnsi="Times New Roman" w:eastAsia="仿宋_GB2312"/>
          <w:snapToGrid w:val="0"/>
          <w:spacing w:val="0"/>
          <w:kern w:val="0"/>
          <w:sz w:val="32"/>
          <w:lang w:bidi="ar"/>
        </w:rPr>
        <w:t>，</w:t>
      </w:r>
      <w:r>
        <w:rPr>
          <w:rFonts w:hint="eastAsia" w:ascii="Times New Roman" w:hAnsi="Times New Roman" w:eastAsia="仿宋_GB2312"/>
          <w:snapToGrid w:val="0"/>
          <w:spacing w:val="0"/>
          <w:kern w:val="0"/>
          <w:sz w:val="32"/>
          <w:lang w:eastAsia="zh-CN" w:bidi="ar"/>
        </w:rPr>
        <w:t>宣传强农</w:t>
      </w:r>
      <w:r>
        <w:rPr>
          <w:rFonts w:ascii="Times New Roman" w:hAnsi="Times New Roman" w:eastAsia="仿宋_GB2312"/>
          <w:snapToGrid w:val="0"/>
          <w:spacing w:val="0"/>
          <w:kern w:val="0"/>
          <w:sz w:val="32"/>
          <w:lang w:bidi="ar"/>
        </w:rPr>
        <w:t>惠农</w:t>
      </w:r>
      <w:r>
        <w:rPr>
          <w:rFonts w:hint="eastAsia" w:ascii="Times New Roman" w:hAnsi="Times New Roman" w:eastAsia="仿宋_GB2312"/>
          <w:snapToGrid w:val="0"/>
          <w:spacing w:val="0"/>
          <w:kern w:val="0"/>
          <w:sz w:val="32"/>
          <w:lang w:eastAsia="zh-CN" w:bidi="ar"/>
        </w:rPr>
        <w:t>、产业发展、基层治理等</w:t>
      </w:r>
      <w:r>
        <w:rPr>
          <w:rFonts w:ascii="Times New Roman" w:hAnsi="Times New Roman" w:eastAsia="仿宋_GB2312"/>
          <w:snapToGrid w:val="0"/>
          <w:spacing w:val="0"/>
          <w:kern w:val="0"/>
          <w:sz w:val="32"/>
          <w:lang w:bidi="ar"/>
        </w:rPr>
        <w:t>政策</w:t>
      </w:r>
      <w:r>
        <w:rPr>
          <w:rFonts w:hint="eastAsia" w:ascii="Times New Roman" w:hAnsi="Times New Roman" w:eastAsia="仿宋_GB2312"/>
          <w:snapToGrid w:val="0"/>
          <w:spacing w:val="0"/>
          <w:kern w:val="0"/>
          <w:sz w:val="32"/>
          <w:lang w:eastAsia="zh-CN" w:bidi="ar"/>
        </w:rPr>
        <w:t>，用便捷、高效的方式将党和政府的“好声音”传递到各家各户；同时，</w:t>
      </w:r>
      <w:r>
        <w:rPr>
          <w:rFonts w:ascii="Times New Roman" w:hAnsi="Times New Roman" w:eastAsia="仿宋_GB2312"/>
          <w:snapToGrid w:val="0"/>
          <w:spacing w:val="0"/>
          <w:kern w:val="0"/>
          <w:sz w:val="32"/>
          <w:lang w:bidi="ar"/>
        </w:rPr>
        <w:t>添加养老、低保、临时救助等线上服务15个，</w:t>
      </w:r>
      <w:r>
        <w:rPr>
          <w:rFonts w:hint="eastAsia" w:ascii="Times New Roman" w:hAnsi="Times New Roman" w:eastAsia="仿宋_GB2312"/>
          <w:snapToGrid w:val="0"/>
          <w:spacing w:val="0"/>
          <w:kern w:val="0"/>
          <w:sz w:val="32"/>
          <w:lang w:eastAsia="zh-CN" w:bidi="ar"/>
        </w:rPr>
        <w:t>整合矛盾调处、意见收集、关爱服务等功能</w:t>
      </w:r>
      <w:r>
        <w:rPr>
          <w:rFonts w:hint="eastAsia" w:ascii="Times New Roman" w:hAnsi="Times New Roman" w:eastAsia="仿宋_GB2312"/>
          <w:snapToGrid w:val="0"/>
          <w:spacing w:val="0"/>
          <w:kern w:val="0"/>
          <w:sz w:val="32"/>
          <w:lang w:val="en-US" w:eastAsia="zh-CN" w:bidi="ar"/>
        </w:rPr>
        <w:t>8个，</w:t>
      </w:r>
      <w:r>
        <w:rPr>
          <w:rFonts w:ascii="Times New Roman" w:hAnsi="Times New Roman" w:eastAsia="仿宋_GB2312"/>
          <w:snapToGrid w:val="0"/>
          <w:spacing w:val="0"/>
          <w:kern w:val="0"/>
          <w:sz w:val="32"/>
          <w:lang w:bidi="ar"/>
        </w:rPr>
        <w:t>努力实现“数据多跑路，办事少跑腿”，</w:t>
      </w:r>
      <w:r>
        <w:rPr>
          <w:rFonts w:hint="eastAsia" w:ascii="Times New Roman" w:hAnsi="Times New Roman" w:eastAsia="仿宋_GB2312"/>
          <w:snapToGrid w:val="0"/>
          <w:spacing w:val="0"/>
          <w:kern w:val="0"/>
          <w:sz w:val="32"/>
          <w:lang w:eastAsia="zh-CN" w:bidi="ar"/>
        </w:rPr>
        <w:t>进一步提升乡村治理现代化、智能化水平</w:t>
      </w:r>
      <w:r>
        <w:rPr>
          <w:rFonts w:ascii="Times New Roman" w:hAnsi="Times New Roman" w:eastAsia="仿宋_GB2312"/>
          <w:snapToGrid w:val="0"/>
          <w:spacing w:val="0"/>
          <w:kern w:val="0"/>
          <w:sz w:val="32"/>
          <w:lang w:bidi="ar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楷体" w:hAnsi="楷体" w:eastAsia="楷体" w:cs="楷体"/>
          <w:b/>
          <w:bCs/>
          <w:snapToGrid w:val="0"/>
          <w:spacing w:val="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173990</wp:posOffset>
            </wp:positionV>
            <wp:extent cx="5615305" cy="2755900"/>
            <wp:effectExtent l="0" t="0" r="4445" b="6350"/>
            <wp:wrapNone/>
            <wp:docPr id="10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</w:pP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342900</wp:posOffset>
            </wp:positionV>
            <wp:extent cx="5615305" cy="3159125"/>
            <wp:effectExtent l="0" t="0" r="4445" b="3175"/>
            <wp:wrapNone/>
            <wp:docPr id="11" name="图片 1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</w:pP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  <w:t>撰稿：王树杰</w:t>
      </w:r>
    </w:p>
    <w:p>
      <w:pPr>
        <w:pStyle w:val="2"/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</w:pPr>
      <w:r>
        <w:rPr>
          <w:rFonts w:hint="eastAsia" w:ascii="仿宋_GB2312" w:hAnsi="仿宋_GB2312" w:eastAsia="仿宋_GB2312" w:cs="仿宋_GB2312"/>
          <w:snapToGrid w:val="0"/>
          <w:spacing w:val="0"/>
          <w:kern w:val="0"/>
          <w:sz w:val="32"/>
          <w:szCs w:val="32"/>
          <w:lang w:eastAsia="zh-CN" w:bidi="ar"/>
        </w:rPr>
        <w:t>审核：史景星</w:t>
      </w:r>
    </w:p>
    <w:sectPr>
      <w:pgSz w:w="11906" w:h="16838"/>
      <w:pgMar w:top="1701" w:right="1474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0ODRkODk1N2Q4NDZlMzU2MWUwYjBjN2ZkMzBlMDAifQ=="/>
  </w:docVars>
  <w:rsids>
    <w:rsidRoot w:val="36566B2A"/>
    <w:rsid w:val="001F077B"/>
    <w:rsid w:val="02B80216"/>
    <w:rsid w:val="072B179E"/>
    <w:rsid w:val="0D985869"/>
    <w:rsid w:val="152A0AFF"/>
    <w:rsid w:val="15AC3C0A"/>
    <w:rsid w:val="160F7CF5"/>
    <w:rsid w:val="16300397"/>
    <w:rsid w:val="1B963ADC"/>
    <w:rsid w:val="1DF63C75"/>
    <w:rsid w:val="228E4DC3"/>
    <w:rsid w:val="293A5CF3"/>
    <w:rsid w:val="36566B2A"/>
    <w:rsid w:val="36AE1AEF"/>
    <w:rsid w:val="38E74176"/>
    <w:rsid w:val="3CB7686D"/>
    <w:rsid w:val="3E432AAE"/>
    <w:rsid w:val="3F531F68"/>
    <w:rsid w:val="4A4A2ACF"/>
    <w:rsid w:val="4B0B04B0"/>
    <w:rsid w:val="4C675BBA"/>
    <w:rsid w:val="509748C6"/>
    <w:rsid w:val="53764934"/>
    <w:rsid w:val="57CA16F3"/>
    <w:rsid w:val="627744B4"/>
    <w:rsid w:val="656C1240"/>
    <w:rsid w:val="6922138F"/>
    <w:rsid w:val="7863107C"/>
    <w:rsid w:val="79880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qFormat="1"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-公1"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styleId="3">
    <w:name w:val="Body Text Indent 2"/>
    <w:basedOn w:val="1"/>
    <w:next w:val="4"/>
    <w:qFormat/>
    <w:uiPriority w:val="0"/>
    <w:pPr>
      <w:spacing w:line="600" w:lineRule="exact"/>
      <w:ind w:firstLine="586" w:firstLineChars="198"/>
    </w:pPr>
    <w:rPr>
      <w:rFonts w:hint="eastAsia" w:ascii="黑体" w:eastAsia="黑体"/>
      <w:spacing w:val="-12"/>
      <w:sz w:val="32"/>
      <w:szCs w:val="32"/>
    </w:rPr>
  </w:style>
  <w:style w:type="paragraph" w:styleId="4">
    <w:name w:val="index 7"/>
    <w:basedOn w:val="1"/>
    <w:next w:val="1"/>
    <w:qFormat/>
    <w:uiPriority w:val="0"/>
    <w:pPr>
      <w:ind w:left="1200" w:leftChars="1200"/>
    </w:pPr>
    <w:rPr>
      <w:rFonts w:eastAsia="仿宋_GB231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1384</Words>
  <Characters>1398</Characters>
  <Lines>0</Lines>
  <Paragraphs>0</Paragraphs>
  <TotalTime>51</TotalTime>
  <ScaleCrop>false</ScaleCrop>
  <LinksUpToDate>false</LinksUpToDate>
  <CharactersWithSpaces>1399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2023-11-13T08:22:00Z</dcterms:created>
  <dc:creator>蓦</dc:creator>
  <cp:lastModifiedBy>蓦</cp:lastModifiedBy>
  <cp:lastPrinted>2023-11-15T12:02:00Z</cp:lastPrinted>
  <dcterms:modified xsi:type="dcterms:W3CDTF">2023-11-16T07:12:59Z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407125CE92B84E84BE40B55D5722D48D_11</vt:lpwstr>
  </property>
</Properties>
</file>