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  <w:t>正宁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:lang w:eastAsia="zh-CN"/>
          <w14:textFill>
            <w14:solidFill>
              <w14:schemeClr w14:val="tx1"/>
            </w14:solidFill>
          </w14:textFill>
        </w:rPr>
        <w:t>榆林子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  <w:t>“6·4”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中毒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:lang w:eastAsia="zh-CN"/>
          <w14:textFill>
            <w14:solidFill>
              <w14:schemeClr w14:val="tx1"/>
            </w14:solidFill>
          </w14:textFill>
        </w:rPr>
        <w:t>窒息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  <w:t>事故调查报告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hd w:val="clear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2023年6月4日1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榆林子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发生一起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中毒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窒息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事故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造成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人死亡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，事故直接经济损失140万元。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事故发生后，县委、县政府高度重视，立即成立了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由县政府分管领导任组长，县应急局主要负责人任副组长，县应急、公安、农业农村、畜牧、纪委监委、工会、周家镇政府相关人员为成员正宁县旭辉养殖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“6·4”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中毒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窒息伤亡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事故调查组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14:textFill>
            <w14:solidFill>
              <w14:schemeClr w14:val="tx1"/>
            </w14:solidFill>
          </w14:textFill>
        </w:rPr>
        <w:t>（以下简称事故调查组）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。事故调查组根据《中华人民共和国安全生产法》《生产安全事故报告和调查处理条例》等相关法律法规规定，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坚持“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科学严谨、依法依规、实事求是、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注重实效”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的原则，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深入事故现场和相关单位，采取现场勘验、调阅资料、走访询问、会议讨论等形式，对事故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进行了全面调查，查清了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事故发生时间、地点、经过、原因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，确定了事故性质，提出了事故处理意见和防范措施。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经调查认定，正宁榆林子旭辉养殖专业合作社“6·4”中毒窒息事故是一起因作业人员违规冒险作业，行业监管单位、属地政府监管不力造成的一起一般生产安全责任事故。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一、事故单位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 xml:space="preserve">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事故单位为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正宁县旭辉养殖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（以下简称旭辉养殖场）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。旭辉养殖场成立于2020年4月，注册地址为正宁县榆林子镇小寺头村，法定代表人为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正宁县榆林子镇小寺头村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村民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任朝辉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业务范围为生猪养殖，营业执照等经营资质齐全有效。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2022年6月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为了扩大经营，又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租赁正宁县民丰源农民养殖专业合作社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该社为周家镇核桃峪村2017年1月注册成立的农民专业合作社，法定代表人为该村时任村委会主任、现任村支书兼主任杨纪文，业务范围为生猪养殖，注册资金100万元，占地25.33亩，圈舍5栋，每栋圈舍外部设置有两个排污管道检查井，检查井井口直径90公分，井深2米，平时井口用铁质盖板覆盖，办公生活用房7间，年养殖规模8000头，营业执照等经营资质齐全有效，自建成以后一直未投入使用。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场地设施进行生猪养殖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双方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签订租赁合同，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租期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2年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2022年6月30日至2024年6月29日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，年租金24万元，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明确安全责任由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对外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业务。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事发时养猪5000头，有工人5人，其中现场负责人1人（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任云锋）、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饲养员3人、炊事员1人，自经营以来排污管道及检查井一直未发生堵塞现象。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养殖场接手后未制定安全管理制度、岗位职责、操作规程、应急预案等基础安全管理规章制度，组织召开了了安全生产相关会议，开展了相关安全检查和培训，安全会议记录、检查记录、教育培训记录、隐患整改台账齐全，配备了防毒面具等安全防护设施。</w:t>
      </w:r>
      <w:r>
        <w:rPr>
          <w:rFonts w:hint="default" w:ascii="Times New Roman" w:hAnsi="Times New Roman" w:eastAsia="Times New Roman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、事故发生经过和救援处置情况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（一）事故发生经过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6月4日上午，旭辉养殖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五号猪圈排污管道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堵塞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不通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左右现场负责人任云锋召集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饲养员来云鹏、杨恒汉、陈会年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准备开展维修。任云锋安排杨恒汉去库房取水管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准备冲洗猪圈和排污管道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，来云鹏和陈会年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清理五号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猪圈粪便，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查看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五号猪圈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排污管道检查井。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杨恒汉从库房取来水管时，发现检查井口开着，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俯身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看，任云锋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掉入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检查井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昏迷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，发生事故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。杨恒汉立即呼叫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正在五号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猪圈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清理粪便的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陈会年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和来云鹏，并让陈会年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去库房取防毒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面罩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，来云鹏在检查井边看守，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去寻找救援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工具。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杨恒汉返回时，来云鹏也掉入检查井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，并已昏迷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，再次发生事故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104775</wp:posOffset>
            </wp:positionV>
            <wp:extent cx="3359150" cy="2684145"/>
            <wp:effectExtent l="0" t="0" r="12700" b="1905"/>
            <wp:wrapSquare wrapText="bothSides"/>
            <wp:docPr id="7" name="图片 7" descr="微信图片_2023091809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918095845"/>
                    <pic:cNvPicPr>
                      <a:picLocks noChangeAspect="1"/>
                    </pic:cNvPicPr>
                  </pic:nvPicPr>
                  <pic:blipFill>
                    <a:blip r:embed="rId6"/>
                    <a:srcRect r="9083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（二）事故救援情况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事故发生后，杨恒汉找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一根长铁钩，和陈会年、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厨师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、送料车司机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（饲料厂当天为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场配送饲料车司机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人合力将任云锋、来云鹏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出检查井，并打电话向任朝辉报告，任朝辉立即拨打120请求救援，并赶赴事故现场，送料车司机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拨打119请求救援。119、120救援人员先后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赶到投入救援，紧接着，周家镇政府、县应急、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农业农村局负责人、县政府分管领导先后赶到现场参与救援。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县委县政府成立了事故应急处置指挥部，下设医疗救治、事件调查、社会稳控、善后处置、舆情管控五个工作组，全面开展工作。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120救援人员在事故现场对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、来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进行了抢救，20分钟后宣布救治无效死亡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经县人民医院诊断为沼气中毒死亡。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（二）事故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事故发生后，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现场人员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杨恒汉电话向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负责人任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进行了报告，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任朝辉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拨打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120请求救援，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送料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车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司机拨打119请求救援，119接警后向周家镇政府通报了该起事故。周家镇政府分别向县委办、政府办、县应急局、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农业农村局进行了书面报告。县应急局接报后分别向市应急局和县委、县政府进行了报告，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县委、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县政府也按规定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市委、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市政府进行了报告。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四、事故原因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（一）直接原因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经公安部门现场检验检测和鉴定结论，应急管理部门事故现场勘查、询问和事故现场视频资料分析，排除人为故意、突发灾害因素等影响，旭辉养殖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场作业现场负责人任云峰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（死者</w:t>
      </w:r>
      <w:r>
        <w:rPr>
          <w:rFonts w:hint="eastAsia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检修时未对检查井进行通风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未落实任何防护措施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冒险作业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不慎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掉入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检查井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造成中毒窒息死亡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；饲养员来云鹏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（死者</w:t>
      </w:r>
      <w:r>
        <w:rPr>
          <w:rFonts w:hint="eastAsia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1"/>
          <w:szCs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接着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未落实任何防护措施冒险查看，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不慎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掉入检查井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造成中毒窒息死亡，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是造成事故的直接原因。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（二）间接原因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1.旭辉养殖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事故发生单位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存在的安全风险辨识不足，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未制定有限空间作业管理制度，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未对从业人员进行有针对性的安全教育培训，安全生产监督检查不力，安全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管理缺失，是造成事故的主要原因。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县畜牧兽医中心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直接监管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安全生产管理和从业人员安全教育培训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针对性不强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监管不力，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安全生产监督检查不到位，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行业安全生产管理职责履行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不力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，是造成事故的重要原因。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.县农业农村局，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作为行业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主管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松懈监督不力，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对现场安全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生产监督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不到位，是造成事故的重要原因。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.周家镇核桃峪村村委会，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级组织及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正宁县民丰源农民养殖专业合作社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所有人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安全生产管理监管不力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是造成事故的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.周家镇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政府，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作为属地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，安全生产管理职责履行不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，是造成事故的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五、事故责任认定及处理建议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）责任单位责任认定及处理建议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1.旭辉养殖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，事故发生单位，对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存在的安全风险辨识不足，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未制定有限空间作业管理制度，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未对从业人员进行有针对性的安全教育培训，安全生产监督检查不力，安全管理缺失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生产经营单位安全生产管理职责履行不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到位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，负主要责任。违反了《安全生产法》第二十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第（二）（三）项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、第二十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条第一款之规定，建议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县应急管理局依据《安全生产法》第一百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一十四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条第（一）项、《甘肃省安全生产自由裁量权基准》第三十六条之规定，给予行政处罚。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县畜牧兽医中心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行业管理单位，对旭辉养殖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安全生产管理和从业人员针对性的安全教育培训监管不力，行业安全生产管理职责履行不到位，负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主要监管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责任，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款第（六）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项之规定，建议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作出书面检查，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由县农业农村局在全系统内通报批评，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书面检查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经县农业农村局党组审议通过后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.县农业农村局，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行业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松懈监督不力，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对现场安全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生产监督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不到位，负重要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行业监管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责任，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款第（六）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项之规定，建议向县政府作出书面检查，书面检查报事故调查组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27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.周家镇核桃峪村村委会，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级组织及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正宁县民丰源农民养殖专业合作社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所有人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安全生产管理监管不力，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安全生产监督检查不到位，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要责任，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款第（六）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项之规定，建议向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周家镇政府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作出书面检查，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由周家镇党委对其主要负责人、分管负责人进行约谈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并全镇通报批评，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书面检查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经镇党委审议后和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约谈记录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一并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.周家镇政府，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属地管理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松懈监督不力，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对现场安全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生产监督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不到位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属地政府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安全生产管理职责履行不到位，负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要责任，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条第第一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款第（六）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项之规定，建议向县政府作出书面检查，书面检查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经镇党委审议后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）责任人责任认定及处理建议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1.任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场现场负责人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，对作业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安全风险辨识不足；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未告知作业人员作业现场存在的安全风险和防范措施；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有限空间作业前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未通风检测，冒险作业，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发生事故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，负直接领导责任。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鉴于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其在该起事故中死亡，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予追究。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场饲养员，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对作业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安全风险辨识不足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有限空间作业前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未通风检测，盲目查看，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发生事故，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负直接责任。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鉴于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其在该起事故中死亡，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予追究。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旭辉养殖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安全生产意识淡薄，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安全生产监督检查不力，安全管理缺失，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未组织开展有限空间作业安全教育培训和安全风险辨识，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 xml:space="preserve">未安排并亲自参与对作业现场安全生产检查和安全隐患排查治理，安全生产职责履行不到位，负主要领导责任。建议由县应急管理局依据《安全生产法》第 二十一条，《安全生产法》第九十五条第（一）项之规定，给予行政处罚。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县畜牧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兽医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养殖场安全生产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管理、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监督检查、安全教育培训监管不到位，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之规定，建议向县农业农村局作出书面检查，县农业农村局对其进行约谈，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全系统内通报批评，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局党组审定后报县政府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分管负责人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监督检查不到位，对作业现场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检查缺失，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之规定，建议向县农业农村局作出书面检查，书面检查经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局党组审定后报县政府，并报事故调查组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旭辉养殖场疏于安全生产管理失察，对现场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安全生产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监督不力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之规定，建议向县政府作出书面检查，书面检查经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局党组审定后报县政府，并报事故调查组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周家镇核桃峪村党支部书记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兼村委会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主任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，正宁县民丰源农民养殖专业合作社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法定代表人，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疏于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监管不力，负重要领导责任，依据《甘肃省安全生产“党政同责、一岗双责”制度实施细则》第二十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政府作出书面检查，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周家镇全镇通报批评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镇党委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审定后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并报事故调查组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政府分管应急管理负责人，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安全生产监督检查、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从业人员安全教育培训监管不力，负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政府作出书面检查，书面检查经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镇党委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审定后报县政府，并报事故调查组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周家镇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政府主要负责人，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旭辉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养殖场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安全生产管理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安全生产监督检查、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从业人员安全教育培训监管不力，负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要领导责任，依据《甘肃省安全生产“党政同责、一岗双责”制度实施细则》第二十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条第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二款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之规定，建议向县政府作出书面检查，书面检查经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镇党委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审定后报县政府，并报事故调查组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六、事故教训及整改防范措施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一要高度重视，汲取教训。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县农业农村局、周家镇要深刻汲取该起事故惨痛教训，举一反三，认真贯彻落实中央、省市县各级领导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关于安全生产的批示指示精神，深入组织开展全行业全领域安全生产大检查，推进安全风险管控和隐患排查治理常态化。全县各级各部门要以此为鉴，切实抓好本辖区本行业安全生产工作，全力遏制生产安全事故发生，确保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二要突出重点，强化监管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各乡镇、各行业主管部门要结合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重大事故隐患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治理2023行动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，对标对表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逐项逐条抓好落实。要突出重点行业领域特别是养殖企业、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有限空间作业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企业组织开展安全风险辨识和隐患排查治理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有限空间作业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的企业要严格按照“先通风、后检测、再作业”的要求开展作业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加大执法检查力度，督促各生产经营单位严格落实安全生产主体责任，管控安全风险，消除安全隐患，确保行业领域安全。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三要创新形式，加强教育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全县各级各部门要充分利用播放专题片、以案说法等形式，组织开展专题培训和警示教育，特别要加强对养殖领域、有限空间作业从业人员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针对性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安全教育培训，切实提高从业人员安全意识和自我防范能力，坚决防范类似事故再次发生。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四要总结完善，巩固提高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各乡镇、各行业主管部门要坚持边开展边总结、边完善、边提高的原则，对前期开展的专项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整治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  <w:t>进行总结完善，健全完善安全生产管理常态化机制，探索建立可复制的好经验好做法，在全县范围内推广，确保全县安全生产形势稳定，为全县经济社会高质量发展提供坚强保障。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3840" w:leftChars="0" w:right="0" w:hanging="3840" w:hangingChars="1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hd w:val="clear" w:fill="auto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right="14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531" w:bottom="1587" w:left="1531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DBlY2QwY2FmZDQzYzYwYzVjMTNkMTRhOTA1ZGYifQ=="/>
  </w:docVars>
  <w:rsids>
    <w:rsidRoot w:val="00905178"/>
    <w:rsid w:val="00175C23"/>
    <w:rsid w:val="00905178"/>
    <w:rsid w:val="00955920"/>
    <w:rsid w:val="00A6726D"/>
    <w:rsid w:val="00D16B0E"/>
    <w:rsid w:val="03565E63"/>
    <w:rsid w:val="046E20FF"/>
    <w:rsid w:val="057710B9"/>
    <w:rsid w:val="06AB4CAC"/>
    <w:rsid w:val="097D2D9A"/>
    <w:rsid w:val="1EF02559"/>
    <w:rsid w:val="226B7722"/>
    <w:rsid w:val="419D4B08"/>
    <w:rsid w:val="44A14A73"/>
    <w:rsid w:val="4A3D23E4"/>
    <w:rsid w:val="4D2C314C"/>
    <w:rsid w:val="4DF16718"/>
    <w:rsid w:val="51951F43"/>
    <w:rsid w:val="531D336C"/>
    <w:rsid w:val="59F55223"/>
    <w:rsid w:val="5D4C24F1"/>
    <w:rsid w:val="7C37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6430</Words>
  <Characters>6596</Characters>
  <Lines>3</Lines>
  <Paragraphs>1</Paragraphs>
  <TotalTime>4</TotalTime>
  <ScaleCrop>false</ScaleCrop>
  <LinksUpToDate>false</LinksUpToDate>
  <CharactersWithSpaces>7286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2021-11-01T01:50:00Z</dcterms:created>
  <dc:creator>DELL</dc:creator>
  <cp:lastModifiedBy>踏浪而来</cp:lastModifiedBy>
  <cp:lastPrinted>2023-10-09T09:57:00Z</cp:lastPrinted>
  <dcterms:modified xsi:type="dcterms:W3CDTF">2024-01-04T07:33:02Z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F79930ECAB6D473194ACA14CA9C4576E_13</vt:lpwstr>
  </property>
</Properties>
</file>