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both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caps w:val="0"/>
          <w:color w:val="auto"/>
          <w:spacing w:val="30"/>
          <w:sz w:val="44"/>
          <w:szCs w:val="44"/>
          <w:shd w:val="clear" w:color="auto" w:fill="auto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caps w:val="0"/>
          <w:color w:val="auto"/>
          <w:spacing w:val="30"/>
          <w:sz w:val="44"/>
          <w:szCs w:val="44"/>
          <w:shd w:val="clear" w:color="auto" w:fill="auto"/>
          <w:lang w:val="en-US" w:eastAsia="zh-CN"/>
        </w:rPr>
        <w:t>三嘉乡扎实开展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caps w:val="0"/>
          <w:color w:val="auto"/>
          <w:spacing w:val="30"/>
          <w:sz w:val="44"/>
          <w:szCs w:val="44"/>
          <w:shd w:val="clear" w:color="auto" w:fill="auto"/>
        </w:rPr>
        <w:t>第21个民族团结进步宣传月活动</w:t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</w:rPr>
        <w:t>为深入贯彻落实党的民族政策，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eastAsia="zh-CN"/>
        </w:rPr>
        <w:t>扎实推进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</w:rPr>
        <w:t>第21个民族团结进步宣传月活动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eastAsia="zh-CN"/>
        </w:rPr>
        <w:t>走深走实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</w:rPr>
        <w:t>，有形有感有效开展铸牢中华民族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</w:rPr>
        <w:t>共同体意识宣传教育。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eastAsia="zh-CN"/>
        </w:rPr>
        <w:t>连日来，三嘉乡组织开展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</w:rPr>
        <w:t>民族团结进步宣传月系列活动。</w:t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3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  <w:t>强化思想认识，精心安排部署。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  <w:t>及时组织全乡干部召开了民族团结进步宣传月活动安排部署会议，对全乡民族团结进步宣传月活动的各项工作进行了细致安排，将责任层层细化，落实到底，形成了一级抓一级、层层抓落实的责任链条，确保民族团结进步宣传月活动有形有感有效开展。</w:t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266700</wp:posOffset>
            </wp:positionV>
            <wp:extent cx="5267325" cy="3460115"/>
            <wp:effectExtent l="0" t="0" r="9525" b="698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3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  <w:t>丰富工作载体，拓宽宣传半径。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  <w:t>把促进民族团结工作与其他各项重点工作同安排、同部署，通过党委理论中心组学习、干部例会、主题党日、“三会一课”等，组织广大党员干部学深悟透党的民族理论、民族政策。通过悬挂横幅、微信转发、集中宣传等方式，向群众广泛宣传民族团结相关政策法规，推动铸牢中华民族共同体意识宣传教育进村社、进家庭。同时，组织乡村干部、驻村工作队、新时代文明实践志愿者进村入户深入开展党的民族理论政策、民族团结知识等宣传教育活动，发放宣传彩页、手册等600余份，全方位多角度宽领域深层次开展民族宗教理论政策宣传，营造全乡上下民族团结进步创建人人参与、人人知晓的浓厚氛围。</w:t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43180</wp:posOffset>
            </wp:positionV>
            <wp:extent cx="4292600" cy="3225165"/>
            <wp:effectExtent l="0" t="0" r="12700" b="1333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3" w:firstLineChars="200"/>
        <w:jc w:val="both"/>
        <w:textAlignment w:val="auto"/>
        <w:outlineLvl w:val="9"/>
        <w:rPr>
          <w:rFonts w:hint="eastAsia" w:ascii="楷体_GB2312" w:hAnsi="楷体_GB2312" w:eastAsia="楷体_GB2312" w:cs="楷体_GB2312"/>
          <w:b/>
          <w:bCs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3" w:firstLineChars="200"/>
        <w:jc w:val="both"/>
        <w:textAlignment w:val="auto"/>
        <w:outlineLvl w:val="9"/>
        <w:rPr>
          <w:rFonts w:hint="eastAsia" w:ascii="楷体_GB2312" w:hAnsi="楷体_GB2312" w:eastAsia="楷体_GB2312" w:cs="楷体_GB2312"/>
          <w:b/>
          <w:bCs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3" w:firstLineChars="200"/>
        <w:jc w:val="both"/>
        <w:textAlignment w:val="auto"/>
        <w:outlineLvl w:val="9"/>
        <w:rPr>
          <w:rFonts w:hint="eastAsia" w:ascii="楷体_GB2312" w:hAnsi="楷体_GB2312" w:eastAsia="楷体_GB2312" w:cs="楷体_GB2312"/>
          <w:b/>
          <w:bCs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3" w:firstLineChars="200"/>
        <w:jc w:val="both"/>
        <w:textAlignment w:val="auto"/>
        <w:outlineLvl w:val="9"/>
        <w:rPr>
          <w:rFonts w:hint="eastAsia" w:ascii="楷体_GB2312" w:hAnsi="楷体_GB2312" w:eastAsia="楷体_GB2312" w:cs="楷体_GB2312"/>
          <w:b/>
          <w:bCs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3" w:firstLineChars="200"/>
        <w:jc w:val="both"/>
        <w:textAlignment w:val="auto"/>
        <w:outlineLvl w:val="9"/>
        <w:rPr>
          <w:rFonts w:hint="eastAsia" w:ascii="楷体_GB2312" w:hAnsi="楷体_GB2312" w:eastAsia="楷体_GB2312" w:cs="楷体_GB2312"/>
          <w:b/>
          <w:bCs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楷体_GB2312" w:hAnsi="楷体_GB2312" w:eastAsia="楷体_GB2312" w:cs="楷体_GB2312"/>
          <w:b/>
          <w:bCs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1905</wp:posOffset>
            </wp:positionV>
            <wp:extent cx="4504055" cy="3352800"/>
            <wp:effectExtent l="0" t="0" r="1079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405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3" w:firstLineChars="200"/>
        <w:jc w:val="both"/>
        <w:textAlignment w:val="auto"/>
        <w:outlineLvl w:val="9"/>
        <w:rPr>
          <w:rFonts w:hint="eastAsia" w:ascii="楷体_GB2312" w:hAnsi="楷体_GB2312" w:eastAsia="楷体_GB2312" w:cs="楷体_GB2312"/>
          <w:b/>
          <w:bCs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3" w:firstLineChars="200"/>
        <w:jc w:val="both"/>
        <w:textAlignment w:val="auto"/>
        <w:outlineLvl w:val="9"/>
        <w:rPr>
          <w:rFonts w:hint="eastAsia" w:ascii="楷体_GB2312" w:hAnsi="楷体_GB2312" w:eastAsia="楷体_GB2312" w:cs="楷体_GB2312"/>
          <w:b/>
          <w:bCs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3" w:firstLineChars="200"/>
        <w:jc w:val="both"/>
        <w:textAlignment w:val="auto"/>
        <w:outlineLvl w:val="9"/>
        <w:rPr>
          <w:rFonts w:hint="eastAsia" w:ascii="楷体_GB2312" w:hAnsi="楷体_GB2312" w:eastAsia="楷体_GB2312" w:cs="楷体_GB2312"/>
          <w:b/>
          <w:bCs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3" w:firstLineChars="200"/>
        <w:jc w:val="both"/>
        <w:textAlignment w:val="auto"/>
        <w:outlineLvl w:val="9"/>
        <w:rPr>
          <w:rFonts w:hint="eastAsia" w:ascii="楷体_GB2312" w:hAnsi="楷体_GB2312" w:eastAsia="楷体_GB2312" w:cs="楷体_GB2312"/>
          <w:b/>
          <w:bCs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楷体_GB2312" w:hAnsi="楷体_GB2312" w:eastAsia="楷体_GB2312" w:cs="楷体_GB2312"/>
          <w:b/>
          <w:bCs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1594485</wp:posOffset>
            </wp:positionV>
            <wp:extent cx="3398520" cy="3787140"/>
            <wp:effectExtent l="0" t="0" r="11430" b="381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3" w:firstLineChars="200"/>
        <w:jc w:val="both"/>
        <w:textAlignment w:val="auto"/>
        <w:outlineLvl w:val="9"/>
        <w:rPr>
          <w:rFonts w:hint="eastAsia" w:ascii="楷体_GB2312" w:hAnsi="楷体_GB2312" w:eastAsia="楷体_GB2312" w:cs="楷体_GB2312"/>
          <w:b/>
          <w:bCs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3" w:firstLineChars="200"/>
        <w:jc w:val="both"/>
        <w:textAlignment w:val="auto"/>
        <w:outlineLvl w:val="9"/>
        <w:rPr>
          <w:rFonts w:hint="eastAsia" w:ascii="楷体_GB2312" w:hAnsi="楷体_GB2312" w:eastAsia="楷体_GB2312" w:cs="楷体_GB2312"/>
          <w:b/>
          <w:bCs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3" w:firstLineChars="200"/>
        <w:jc w:val="both"/>
        <w:textAlignment w:val="auto"/>
        <w:outlineLvl w:val="9"/>
        <w:rPr>
          <w:rFonts w:hint="eastAsia" w:ascii="楷体_GB2312" w:hAnsi="楷体_GB2312" w:eastAsia="楷体_GB2312" w:cs="楷体_GB2312"/>
          <w:b/>
          <w:bCs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楷体_GB2312" w:hAnsi="楷体_GB2312" w:eastAsia="楷体_GB2312" w:cs="楷体_GB2312"/>
          <w:b/>
          <w:bCs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-1221740</wp:posOffset>
            </wp:positionH>
            <wp:positionV relativeFrom="paragraph">
              <wp:posOffset>119380</wp:posOffset>
            </wp:positionV>
            <wp:extent cx="5273040" cy="3500755"/>
            <wp:effectExtent l="0" t="0" r="3810" b="444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3" w:firstLineChars="200"/>
        <w:jc w:val="both"/>
        <w:textAlignment w:val="auto"/>
        <w:outlineLvl w:val="9"/>
        <w:rPr>
          <w:rFonts w:hint="eastAsia" w:ascii="楷体_GB2312" w:hAnsi="楷体_GB2312" w:eastAsia="楷体_GB2312" w:cs="楷体_GB2312"/>
          <w:b/>
          <w:bCs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3" w:firstLineChars="200"/>
        <w:jc w:val="both"/>
        <w:textAlignment w:val="auto"/>
        <w:outlineLvl w:val="9"/>
        <w:rPr>
          <w:rFonts w:hint="eastAsia" w:ascii="楷体_GB2312" w:hAnsi="楷体_GB2312" w:eastAsia="楷体_GB2312" w:cs="楷体_GB2312"/>
          <w:b/>
          <w:bCs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3" w:firstLineChars="200"/>
        <w:jc w:val="both"/>
        <w:textAlignment w:val="auto"/>
        <w:outlineLvl w:val="9"/>
        <w:rPr>
          <w:rFonts w:hint="eastAsia" w:ascii="楷体_GB2312" w:hAnsi="楷体_GB2312" w:eastAsia="楷体_GB2312" w:cs="楷体_GB2312"/>
          <w:b/>
          <w:bCs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3" w:firstLineChars="200"/>
        <w:jc w:val="both"/>
        <w:textAlignment w:val="auto"/>
        <w:outlineLvl w:val="9"/>
        <w:rPr>
          <w:rFonts w:hint="eastAsia" w:ascii="楷体_GB2312" w:hAnsi="楷体_GB2312" w:eastAsia="楷体_GB2312" w:cs="楷体_GB2312"/>
          <w:b/>
          <w:bCs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both"/>
        <w:textAlignment w:val="auto"/>
        <w:outlineLvl w:val="9"/>
        <w:rPr>
          <w:rFonts w:hint="eastAsia" w:ascii="楷体_GB2312" w:hAnsi="楷体_GB2312" w:eastAsia="楷体_GB2312" w:cs="楷体_GB2312"/>
          <w:b/>
          <w:bCs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3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  <w:t>强化工作统筹，提升工作质效。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  <w:t>以民族团结进步创建工作为抓手，找准工作的结合点、切入点、着力点，将民族团结进步宣传月活动与乡村振兴、民生项目、结对关爱、矛盾纠纷排查等工作有机结合起来，积极引导各族群众努力建诤言、献良策，特别是要立足资源禀赋，发展优势特色产业，破解产业发展难题，更多更好地惠及各族群众，不断丰富各族群众精神文化生活，有形有感有效铸牢中华民族共同体意识。</w:t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3886835</wp:posOffset>
            </wp:positionV>
            <wp:extent cx="5264785" cy="2967990"/>
            <wp:effectExtent l="0" t="0" r="12065" b="3810"/>
            <wp:wrapTopAndBottom/>
            <wp:docPr id="7" name="图片 7" descr="IMG_6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67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-257175</wp:posOffset>
            </wp:positionV>
            <wp:extent cx="5274310" cy="3955415"/>
            <wp:effectExtent l="0" t="0" r="2540" b="6985"/>
            <wp:wrapSquare wrapText="bothSides"/>
            <wp:docPr id="8" name="图片 8" descr="IMG_6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67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-809625</wp:posOffset>
            </wp:positionV>
            <wp:extent cx="5264785" cy="3947160"/>
            <wp:effectExtent l="0" t="0" r="12065" b="15240"/>
            <wp:wrapSquare wrapText="bothSides"/>
            <wp:docPr id="9" name="图片 9" descr="IMG_6727(20240521-16310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6727(20240521-163109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132715</wp:posOffset>
            </wp:positionV>
            <wp:extent cx="5222875" cy="3917315"/>
            <wp:effectExtent l="0" t="0" r="15875" b="6985"/>
            <wp:wrapSquare wrapText="bothSides"/>
            <wp:docPr id="10" name="图片 10" descr="IMG_6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6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7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30"/>
          <w:sz w:val="32"/>
          <w:szCs w:val="32"/>
          <w:shd w:val="clear" w:color="auto" w:fill="auto"/>
          <w:lang w:val="en-US" w:eastAsia="zh-CN"/>
        </w:rPr>
        <w:t>下一步，三嘉乡将以开展民族团结进步宣传月活动为契机，继续开展多种形式、多种角度的民族团结进步宣传活动，让铸牢中华民族共同体意识成为辖区各族群众的行动自觉，不断推进民族团结进步创建工作走深走实。</w:t>
      </w:r>
    </w:p>
    <w:sectPr>
      <w:pgSz w:w="11906" w:h="16838"/>
      <w:pgMar w:top="873" w:right="1800" w:bottom="104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RkNmQ5OTVjNjk0ODk0ODg3ZmFkMmI4YjIzN2EzZGMifQ=="/>
  </w:docVars>
  <w:rsids>
    <w:rsidRoot w:val="15211D12"/>
    <w:rsid w:val="15211D12"/>
    <w:rsid w:val="1C391A2F"/>
    <w:rsid w:val="79BB3DA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33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2024-05-21T07:22:00Z</dcterms:created>
  <dc:creator>123</dc:creator>
  <cp:lastModifiedBy>Administrator</cp:lastModifiedBy>
  <cp:lastPrinted>2024-05-21T09:12:00Z</cp:lastPrinted>
  <dcterms:modified xsi:type="dcterms:W3CDTF">2024-05-21T10:54:15Z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681B74D917154988927F9A0DCFA43B6D</vt:lpwstr>
  </property>
</Properties>
</file>