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23DF">
      <w:pPr>
        <w:pStyle w:val="3"/>
        <w:keepNext w:val="0"/>
        <w:keepLines w:val="0"/>
        <w:pageBreakBefore w:val="0"/>
        <w:kinsoku/>
        <w:wordWrap/>
        <w:overflowPunct/>
        <w:topLinePunct w:val="0"/>
        <w:bidi w:val="0"/>
        <w:adjustRightInd/>
        <w:spacing w:line="560" w:lineRule="exact"/>
        <w:jc w:val="center"/>
        <w:rPr>
          <w:rFonts w:hint="eastAsia" w:ascii="楷体_GB2312" w:hAnsi="宋体" w:eastAsia="楷体_GB2312"/>
          <w:sz w:val="32"/>
          <w:szCs w:val="32"/>
        </w:rPr>
      </w:pPr>
      <w:r>
        <w:rPr>
          <w:rFonts w:hint="eastAsia" w:ascii="方正小标宋简体" w:hAnsi="黑体" w:eastAsia="方正小标宋简体" w:cs="经典粗宋简"/>
          <w:sz w:val="44"/>
          <w:szCs w:val="44"/>
          <w:lang w:eastAsia="zh-CN"/>
        </w:rPr>
        <w:t>正宁县</w:t>
      </w:r>
      <w:r>
        <w:rPr>
          <w:rFonts w:hint="eastAsia" w:ascii="方正小标宋简体" w:hAnsi="黑体" w:eastAsia="方正小标宋简体" w:cs="经典粗宋简"/>
          <w:sz w:val="44"/>
          <w:szCs w:val="44"/>
        </w:rPr>
        <w:t>审计局</w:t>
      </w:r>
    </w:p>
    <w:p w14:paraId="0463B3C0">
      <w:pPr>
        <w:keepNext w:val="0"/>
        <w:keepLines w:val="0"/>
        <w:pageBreakBefore w:val="0"/>
        <w:kinsoku/>
        <w:wordWrap/>
        <w:overflowPunct/>
        <w:topLinePunct w:val="0"/>
        <w:autoSpaceDN w:val="0"/>
        <w:bidi w:val="0"/>
        <w:adjustRightInd/>
        <w:spacing w:line="560" w:lineRule="exact"/>
        <w:jc w:val="center"/>
        <w:rPr>
          <w:rFonts w:hint="eastAsia"/>
        </w:rPr>
      </w:pPr>
      <w:r>
        <w:rPr>
          <w:rFonts w:hint="eastAsia" w:ascii="方正小标宋简体" w:hAnsi="黑体" w:eastAsia="方正小标宋简体" w:cs="经典粗宋简"/>
          <w:sz w:val="44"/>
          <w:szCs w:val="44"/>
        </w:rPr>
        <w:t>20</w:t>
      </w:r>
      <w:r>
        <w:rPr>
          <w:rFonts w:hint="eastAsia" w:ascii="方正小标宋简体" w:hAnsi="黑体" w:eastAsia="方正小标宋简体" w:cs="经典粗宋简"/>
          <w:sz w:val="44"/>
          <w:szCs w:val="44"/>
          <w:lang w:val="en-US" w:eastAsia="zh-CN"/>
        </w:rPr>
        <w:t>23</w:t>
      </w:r>
      <w:r>
        <w:rPr>
          <w:rFonts w:hint="eastAsia" w:ascii="方正小标宋简体" w:hAnsi="黑体" w:eastAsia="方正小标宋简体" w:cs="经典粗宋简"/>
          <w:sz w:val="44"/>
          <w:szCs w:val="44"/>
        </w:rPr>
        <w:t>年度</w:t>
      </w:r>
      <w:r>
        <w:rPr>
          <w:rFonts w:hint="eastAsia" w:ascii="方正小标宋简体" w:hAnsi="黑体" w:eastAsia="方正小标宋简体" w:cs="经典粗宋简"/>
          <w:sz w:val="44"/>
          <w:szCs w:val="44"/>
          <w:lang w:val="en-US" w:eastAsia="zh-CN"/>
        </w:rPr>
        <w:t>整体支出</w:t>
      </w:r>
      <w:r>
        <w:rPr>
          <w:rFonts w:hint="eastAsia" w:ascii="方正小标宋简体" w:hAnsi="黑体" w:eastAsia="方正小标宋简体" w:cs="经典粗宋简"/>
          <w:sz w:val="44"/>
          <w:szCs w:val="44"/>
        </w:rPr>
        <w:t>绩效</w:t>
      </w:r>
      <w:r>
        <w:rPr>
          <w:rFonts w:hint="eastAsia" w:ascii="方正小标宋简体" w:hAnsi="黑体" w:eastAsia="方正小标宋简体" w:cs="经典粗宋简"/>
          <w:sz w:val="44"/>
          <w:szCs w:val="44"/>
          <w:lang w:val="en-US" w:eastAsia="zh-CN"/>
        </w:rPr>
        <w:t>自评</w:t>
      </w:r>
      <w:r>
        <w:rPr>
          <w:rFonts w:hint="eastAsia" w:ascii="方正小标宋简体" w:hAnsi="黑体" w:eastAsia="方正小标宋简体" w:cs="经典粗宋简"/>
          <w:sz w:val="44"/>
          <w:szCs w:val="44"/>
        </w:rPr>
        <w:t>报告</w:t>
      </w:r>
    </w:p>
    <w:p w14:paraId="2A80B263">
      <w:pPr>
        <w:keepNext w:val="0"/>
        <w:keepLines w:val="0"/>
        <w:pageBreakBefore w:val="0"/>
        <w:kinsoku/>
        <w:wordWrap/>
        <w:overflowPunct/>
        <w:topLinePunct w:val="0"/>
        <w:autoSpaceDN w:val="0"/>
        <w:bidi w:val="0"/>
        <w:adjustRightInd/>
        <w:spacing w:line="560" w:lineRule="exact"/>
        <w:jc w:val="left"/>
        <w:rPr>
          <w:rFonts w:hint="default" w:ascii="仿宋_GB2312" w:eastAsia="仿宋_GB2312"/>
          <w:sz w:val="32"/>
          <w:szCs w:val="22"/>
        </w:rPr>
      </w:pPr>
      <w:r>
        <w:rPr>
          <w:rFonts w:hint="eastAsia" w:ascii="仿宋_GB2312" w:hAnsi="仿宋" w:eastAsia="仿宋_GB2312" w:cs="Tahoma"/>
          <w:kern w:val="0"/>
          <w:sz w:val="32"/>
          <w:szCs w:val="32"/>
          <w:lang w:val="en-US" w:eastAsia="zh-CN"/>
        </w:rPr>
        <w:t xml:space="preserve">    </w:t>
      </w:r>
      <w:r>
        <w:rPr>
          <w:rFonts w:hint="eastAsia" w:ascii="仿宋_GB2312" w:hAnsi="仿宋" w:eastAsia="仿宋_GB2312" w:cs="Tahoma"/>
          <w:kern w:val="0"/>
          <w:sz w:val="32"/>
          <w:szCs w:val="32"/>
          <w:lang w:eastAsia="zh-CN"/>
        </w:rPr>
        <w:t>按照</w:t>
      </w:r>
      <w:r>
        <w:rPr>
          <w:rFonts w:hint="eastAsia" w:ascii="仿宋_GB2312" w:hAnsi="仿宋" w:eastAsia="仿宋_GB2312" w:cs="Tahoma"/>
          <w:kern w:val="0"/>
          <w:sz w:val="32"/>
          <w:szCs w:val="32"/>
          <w:lang w:val="en-US" w:eastAsia="zh-CN"/>
        </w:rPr>
        <w:t>财政部《</w:t>
      </w:r>
      <w:r>
        <w:rPr>
          <w:rFonts w:hint="eastAsia" w:ascii="仿宋_GB2312" w:hAnsi="仿宋_GB2312" w:eastAsia="仿宋_GB2312" w:cs="仿宋_GB2312"/>
          <w:sz w:val="32"/>
          <w:szCs w:val="32"/>
          <w:lang w:val="en-US" w:eastAsia="zh-CN"/>
        </w:rPr>
        <w:t>关于开展2023年度中央对地方转移支付预算执行绩效评价的通知</w:t>
      </w:r>
      <w:r>
        <w:rPr>
          <w:rFonts w:hint="eastAsia" w:ascii="仿宋_GB2312" w:hAnsi="仿宋" w:eastAsia="仿宋_GB2312" w:cs="Tahoma"/>
          <w:kern w:val="0"/>
          <w:sz w:val="32"/>
          <w:szCs w:val="32"/>
          <w:lang w:val="en-US" w:eastAsia="zh-CN"/>
        </w:rPr>
        <w:t>》以及正宁县财政局《</w:t>
      </w:r>
      <w:r>
        <w:rPr>
          <w:rFonts w:hint="eastAsia" w:ascii="仿宋_GB2312" w:hAnsi="仿宋_GB2312" w:eastAsia="仿宋_GB2312" w:cs="仿宋_GB2312"/>
          <w:sz w:val="32"/>
          <w:szCs w:val="32"/>
          <w:lang w:val="en-US" w:eastAsia="zh-CN"/>
        </w:rPr>
        <w:t>关于转发甘肃省财政厅关于进一步做好预算绩效信息公开工作的通知》</w:t>
      </w:r>
      <w:r>
        <w:rPr>
          <w:rFonts w:hint="eastAsia" w:ascii="仿宋_GB2312" w:eastAsia="仿宋_GB2312"/>
          <w:sz w:val="32"/>
          <w:szCs w:val="22"/>
          <w:lang w:eastAsia="zh-CN"/>
        </w:rPr>
        <w:t>要求</w:t>
      </w:r>
      <w:r>
        <w:rPr>
          <w:rFonts w:hint="eastAsia" w:ascii="仿宋_GB2312" w:eastAsia="仿宋_GB2312"/>
          <w:sz w:val="32"/>
          <w:szCs w:val="22"/>
          <w:lang w:val="en-US" w:eastAsia="zh-CN"/>
        </w:rPr>
        <w:t>，现将2023年度县审计局整体绩效评价情况报告如下：</w:t>
      </w:r>
    </w:p>
    <w:p w14:paraId="07523A5D">
      <w:pPr>
        <w:keepNext w:val="0"/>
        <w:keepLines w:val="0"/>
        <w:pageBreakBefore w:val="0"/>
        <w:widowControl/>
        <w:numPr>
          <w:ilvl w:val="0"/>
          <w:numId w:val="1"/>
        </w:numPr>
        <w:kinsoku/>
        <w:wordWrap/>
        <w:overflowPunct/>
        <w:topLinePunct w:val="0"/>
        <w:bidi w:val="0"/>
        <w:adjustRightInd/>
        <w:snapToGrid w:val="0"/>
        <w:spacing w:line="560" w:lineRule="exact"/>
        <w:ind w:firstLine="640"/>
        <w:rPr>
          <w:rFonts w:hint="eastAsia" w:ascii="黑体" w:hAnsi="黑体" w:eastAsia="黑体" w:cs="Tahoma"/>
          <w:kern w:val="0"/>
          <w:sz w:val="32"/>
          <w:szCs w:val="32"/>
        </w:rPr>
      </w:pPr>
      <w:r>
        <w:rPr>
          <w:rFonts w:hint="eastAsia" w:ascii="黑体" w:hAnsi="黑体" w:eastAsia="黑体" w:cs="Tahoma"/>
          <w:kern w:val="0"/>
          <w:sz w:val="32"/>
          <w:szCs w:val="32"/>
          <w:lang w:val="en-US" w:eastAsia="zh-CN"/>
        </w:rPr>
        <w:t>部门概</w:t>
      </w:r>
      <w:r>
        <w:rPr>
          <w:rFonts w:hint="eastAsia" w:ascii="黑体" w:hAnsi="黑体" w:eastAsia="黑体" w:cs="Tahoma"/>
          <w:kern w:val="0"/>
          <w:sz w:val="32"/>
          <w:szCs w:val="32"/>
        </w:rPr>
        <w:t>况</w:t>
      </w:r>
    </w:p>
    <w:p w14:paraId="2251C8F3">
      <w:pPr>
        <w:pStyle w:val="2"/>
        <w:keepNext w:val="0"/>
        <w:keepLines w:val="0"/>
        <w:pageBreakBefore w:val="0"/>
        <w:numPr>
          <w:ilvl w:val="0"/>
          <w:numId w:val="0"/>
        </w:numPr>
        <w:kinsoku/>
        <w:wordWrap/>
        <w:overflowPunct/>
        <w:topLinePunct w:val="0"/>
        <w:bidi w:val="0"/>
        <w:adjustRightInd/>
        <w:spacing w:line="560" w:lineRule="exact"/>
        <w:ind w:leftChars="0" w:firstLine="643" w:firstLineChars="200"/>
        <w:rPr>
          <w:rFonts w:hint="eastAsia" w:ascii="仿宋_GB2312" w:eastAsia="仿宋_GB2312"/>
          <w:b/>
          <w:bCs/>
          <w:color w:val="0000FF"/>
        </w:rPr>
      </w:pPr>
      <w:r>
        <w:rPr>
          <w:rFonts w:hint="eastAsia" w:ascii="楷体_GB2312" w:hAnsi="楷体" w:eastAsia="楷体_GB2312" w:cs="Tahoma"/>
          <w:b/>
          <w:bCs/>
          <w:kern w:val="0"/>
          <w:sz w:val="32"/>
          <w:szCs w:val="32"/>
          <w:lang w:val="en-US" w:eastAsia="zh-CN" w:bidi="ar-SA"/>
        </w:rPr>
        <w:t xml:space="preserve">（一）部门主要职责职能，组织架构、人员等基本情况     </w:t>
      </w:r>
    </w:p>
    <w:p w14:paraId="315ADBFB">
      <w:pPr>
        <w:keepNext w:val="0"/>
        <w:keepLines w:val="0"/>
        <w:pageBreakBefore w:val="0"/>
        <w:widowControl/>
        <w:kinsoku/>
        <w:wordWrap/>
        <w:overflowPunct/>
        <w:topLinePunct w:val="0"/>
        <w:bidi w:val="0"/>
        <w:adjustRightInd/>
        <w:snapToGrid w:val="0"/>
        <w:spacing w:line="560" w:lineRule="exact"/>
        <w:ind w:firstLine="640"/>
        <w:rPr>
          <w:rFonts w:hint="eastAsia" w:ascii="仿宋_GB2312" w:eastAsia="仿宋_GB2312"/>
          <w:sz w:val="32"/>
          <w:szCs w:val="32"/>
        </w:rPr>
      </w:pPr>
      <w:r>
        <w:rPr>
          <w:rFonts w:hint="eastAsia" w:ascii="仿宋_GB2312" w:eastAsia="仿宋_GB2312"/>
          <w:sz w:val="32"/>
          <w:szCs w:val="22"/>
          <w:lang w:val="en-US" w:eastAsia="zh-CN"/>
        </w:rPr>
        <w:t>正宁县审计局为县政府组成部门，</w:t>
      </w:r>
      <w:r>
        <w:rPr>
          <w:rFonts w:hint="eastAsia" w:ascii="仿宋_GB2312" w:hAnsi="Times New Roman" w:eastAsia="仿宋_GB2312" w:cs="Times New Roman"/>
          <w:sz w:val="32"/>
          <w:szCs w:val="22"/>
          <w:lang w:eastAsia="zh-CN"/>
        </w:rPr>
        <w:t>主要职能</w:t>
      </w:r>
      <w:r>
        <w:rPr>
          <w:rFonts w:hint="eastAsia" w:ascii="仿宋_GB2312" w:eastAsia="仿宋_GB2312" w:cs="Times New Roman"/>
          <w:sz w:val="32"/>
          <w:szCs w:val="22"/>
          <w:lang w:val="en-US" w:eastAsia="zh-CN"/>
        </w:rPr>
        <w:t>是</w:t>
      </w:r>
      <w:r>
        <w:rPr>
          <w:rFonts w:hint="eastAsia" w:ascii="仿宋_GB2312" w:eastAsia="仿宋_GB2312" w:cs="Times New Roman"/>
          <w:sz w:val="32"/>
          <w:szCs w:val="22"/>
          <w:lang w:eastAsia="zh-CN"/>
        </w:rPr>
        <w:t>：</w:t>
      </w:r>
      <w:r>
        <w:rPr>
          <w:rFonts w:eastAsia="仿宋_GB2312"/>
          <w:sz w:val="32"/>
          <w:szCs w:val="32"/>
        </w:rPr>
        <w:t>主管全县审计工作</w:t>
      </w:r>
      <w:r>
        <w:rPr>
          <w:rFonts w:hint="eastAsia" w:eastAsia="仿宋_GB2312"/>
          <w:sz w:val="32"/>
          <w:szCs w:val="32"/>
          <w:lang w:eastAsia="zh-CN"/>
        </w:rPr>
        <w:t>，</w:t>
      </w:r>
      <w:r>
        <w:rPr>
          <w:rFonts w:eastAsia="仿宋_GB2312"/>
          <w:sz w:val="32"/>
          <w:szCs w:val="32"/>
        </w:rPr>
        <w:t>负责对县级财政收支和法律法规规定属于审计监督范围的财务收支的真实、合法和效益进行审计监督和检查</w:t>
      </w:r>
      <w:r>
        <w:rPr>
          <w:rFonts w:hint="eastAsia" w:eastAsia="仿宋_GB2312"/>
          <w:sz w:val="32"/>
          <w:szCs w:val="32"/>
          <w:lang w:eastAsia="zh-CN"/>
        </w:rPr>
        <w:t>；</w:t>
      </w:r>
      <w:r>
        <w:rPr>
          <w:rFonts w:eastAsia="仿宋_GB2312"/>
          <w:sz w:val="32"/>
          <w:szCs w:val="32"/>
        </w:rPr>
        <w:t>负责</w:t>
      </w:r>
      <w:r>
        <w:rPr>
          <w:rFonts w:hint="eastAsia" w:eastAsia="仿宋_GB2312"/>
          <w:sz w:val="32"/>
          <w:szCs w:val="32"/>
          <w:lang w:eastAsia="zh-CN"/>
        </w:rPr>
        <w:t>拟订</w:t>
      </w:r>
      <w:r>
        <w:rPr>
          <w:rFonts w:eastAsia="仿宋_GB2312"/>
          <w:sz w:val="32"/>
          <w:szCs w:val="32"/>
        </w:rPr>
        <w:t>全县审计工作发展规划、专业领域审计工作规划和年度审计计划并组织实施</w:t>
      </w:r>
      <w:r>
        <w:rPr>
          <w:rFonts w:hint="eastAsia" w:eastAsia="仿宋_GB2312"/>
          <w:sz w:val="32"/>
          <w:szCs w:val="32"/>
          <w:lang w:eastAsia="zh-CN"/>
        </w:rPr>
        <w:t>；</w:t>
      </w:r>
      <w:r>
        <w:rPr>
          <w:rFonts w:eastAsia="仿宋_GB2312"/>
          <w:sz w:val="32"/>
          <w:szCs w:val="32"/>
        </w:rPr>
        <w:t>负责向县委审计委员会、县政府提出年度县级预算执行和其他财政收支情况的审计结果报告，并受县政府委托向县人大常委会提交相关的审计工作报告、审计发现问题</w:t>
      </w:r>
      <w:r>
        <w:rPr>
          <w:rFonts w:hint="eastAsia" w:eastAsia="仿宋_GB2312"/>
          <w:sz w:val="32"/>
          <w:szCs w:val="32"/>
          <w:lang w:eastAsia="zh-CN"/>
        </w:rPr>
        <w:t>整治情况的</w:t>
      </w:r>
      <w:r>
        <w:rPr>
          <w:rFonts w:eastAsia="仿宋_GB2312"/>
          <w:sz w:val="32"/>
          <w:szCs w:val="32"/>
        </w:rPr>
        <w:t>报告；负责出具审计报告，在法定职权范围内做出审计决定或向有关机关提出处理处罚的建议</w:t>
      </w:r>
      <w:r>
        <w:rPr>
          <w:rFonts w:hint="eastAsia" w:eastAsia="仿宋_GB2312"/>
          <w:sz w:val="32"/>
          <w:szCs w:val="32"/>
          <w:lang w:eastAsia="zh-CN"/>
        </w:rPr>
        <w:t>；</w:t>
      </w:r>
      <w:r>
        <w:rPr>
          <w:rFonts w:eastAsia="仿宋_GB2312"/>
          <w:sz w:val="32"/>
          <w:szCs w:val="32"/>
        </w:rPr>
        <w:t>指导、监督内部审计工作；核查社会审计机构对依法属于审计监督对象的单位出具的相关审计报告</w:t>
      </w:r>
      <w:r>
        <w:rPr>
          <w:rFonts w:hint="eastAsia" w:eastAsia="仿宋_GB2312"/>
          <w:sz w:val="32"/>
          <w:szCs w:val="32"/>
          <w:lang w:eastAsia="zh-CN"/>
        </w:rPr>
        <w:t>和</w:t>
      </w:r>
      <w:r>
        <w:rPr>
          <w:rFonts w:eastAsia="仿宋_GB2312"/>
          <w:sz w:val="32"/>
          <w:szCs w:val="32"/>
        </w:rPr>
        <w:t>承办县委、县政府和市审计局交办的其他事项。</w:t>
      </w:r>
      <w:r>
        <w:rPr>
          <w:rFonts w:hint="eastAsia" w:eastAsia="仿宋_GB2312"/>
          <w:sz w:val="32"/>
          <w:szCs w:val="32"/>
          <w:lang w:val="en-US" w:eastAsia="zh-CN"/>
        </w:rPr>
        <w:t>县审</w:t>
      </w:r>
      <w:r>
        <w:rPr>
          <w:rFonts w:hint="eastAsia" w:ascii="仿宋_GB2312" w:hAnsi="仿宋_GB2312" w:eastAsia="仿宋_GB2312" w:cs="仿宋_GB2312"/>
          <w:sz w:val="32"/>
          <w:szCs w:val="32"/>
          <w:lang w:val="en-US" w:eastAsia="zh-CN"/>
        </w:rPr>
        <w:t>计局共有在职人员23名，在编21名，编外3名，其中：局机关核定行政编制10名，实有在职人员9人。</w:t>
      </w:r>
      <w:r>
        <w:rPr>
          <w:rFonts w:hint="eastAsia" w:ascii="仿宋_GB2312" w:hAnsi="仿宋_GB2312" w:eastAsia="仿宋_GB2312" w:cs="仿宋_GB2312"/>
          <w:sz w:val="32"/>
          <w:szCs w:val="32"/>
          <w:lang w:eastAsia="zh-CN"/>
        </w:rPr>
        <w:t>内设办公室、法制股、</w:t>
      </w:r>
      <w:r>
        <w:rPr>
          <w:rFonts w:hint="eastAsia" w:ascii="仿宋_GB2312" w:hAnsi="仿宋_GB2312" w:eastAsia="仿宋_GB2312" w:cs="仿宋_GB2312"/>
          <w:sz w:val="32"/>
          <w:szCs w:val="32"/>
          <w:lang w:val="en-US" w:eastAsia="zh-CN"/>
        </w:rPr>
        <w:t>党政企业</w:t>
      </w:r>
      <w:r>
        <w:rPr>
          <w:rFonts w:hint="eastAsia" w:ascii="仿宋_GB2312" w:hAnsi="仿宋_GB2312" w:eastAsia="仿宋_GB2312" w:cs="仿宋_GB2312"/>
          <w:sz w:val="32"/>
          <w:szCs w:val="32"/>
          <w:lang w:eastAsia="zh-CN"/>
        </w:rPr>
        <w:t>审计股、固定资产投资审计股</w:t>
      </w:r>
      <w:r>
        <w:rPr>
          <w:rFonts w:hint="eastAsia" w:ascii="仿宋_GB2312" w:hAnsi="仿宋_GB2312" w:eastAsia="仿宋_GB2312" w:cs="仿宋_GB2312"/>
          <w:sz w:val="32"/>
          <w:szCs w:val="32"/>
          <w:lang w:val="en-US" w:eastAsia="zh-CN"/>
        </w:rPr>
        <w:t>4个股室和2个副科级事业单位。</w:t>
      </w:r>
      <w:r>
        <w:rPr>
          <w:rFonts w:hint="eastAsia" w:ascii="仿宋_GB2312" w:hAnsi="仿宋_GB2312" w:eastAsia="仿宋_GB2312" w:cs="仿宋_GB2312"/>
          <w:sz w:val="32"/>
          <w:szCs w:val="32"/>
        </w:rPr>
        <w:t>县经济责任审计办公室</w:t>
      </w:r>
      <w:r>
        <w:rPr>
          <w:rFonts w:hint="eastAsia" w:ascii="仿宋_GB2312" w:hAnsi="仿宋_GB2312" w:eastAsia="仿宋_GB2312" w:cs="仿宋_GB2312"/>
          <w:sz w:val="32"/>
          <w:szCs w:val="32"/>
          <w:lang w:eastAsia="zh-CN"/>
        </w:rPr>
        <w:t>隶属于</w:t>
      </w:r>
      <w:r>
        <w:rPr>
          <w:rFonts w:hint="eastAsia" w:ascii="仿宋_GB2312" w:eastAsia="仿宋_GB2312"/>
          <w:sz w:val="32"/>
          <w:szCs w:val="32"/>
          <w:lang w:eastAsia="zh-CN"/>
        </w:rPr>
        <w:t>正宁县审计局</w:t>
      </w:r>
      <w:r>
        <w:rPr>
          <w:rFonts w:hint="eastAsia" w:ascii="仿宋_GB2312" w:eastAsia="仿宋_GB2312"/>
          <w:sz w:val="32"/>
          <w:szCs w:val="32"/>
        </w:rPr>
        <w:t>，为副科级</w:t>
      </w:r>
      <w:r>
        <w:rPr>
          <w:rFonts w:hint="eastAsia" w:ascii="仿宋_GB2312" w:eastAsia="仿宋_GB2312"/>
          <w:sz w:val="32"/>
          <w:szCs w:val="32"/>
          <w:lang w:val="en-US" w:eastAsia="zh-CN"/>
        </w:rPr>
        <w:t>参公</w:t>
      </w:r>
      <w:r>
        <w:rPr>
          <w:rFonts w:hint="eastAsia" w:ascii="仿宋_GB2312" w:eastAsia="仿宋_GB2312"/>
          <w:sz w:val="32"/>
          <w:szCs w:val="32"/>
        </w:rPr>
        <w:t>事业单位，核定</w:t>
      </w:r>
      <w:r>
        <w:rPr>
          <w:rFonts w:hint="eastAsia" w:ascii="仿宋_GB2312" w:eastAsia="仿宋_GB2312"/>
          <w:sz w:val="32"/>
          <w:szCs w:val="32"/>
          <w:lang w:eastAsia="zh-CN"/>
        </w:rPr>
        <w:t>参公管理</w:t>
      </w:r>
      <w:r>
        <w:rPr>
          <w:rFonts w:hint="eastAsia" w:ascii="仿宋_GB2312" w:eastAsia="仿宋_GB2312"/>
          <w:sz w:val="32"/>
          <w:szCs w:val="32"/>
        </w:rPr>
        <w:t>编制</w:t>
      </w:r>
      <w:r>
        <w:rPr>
          <w:rFonts w:hint="eastAsia" w:ascii="仿宋_GB2312" w:eastAsia="仿宋_GB2312"/>
          <w:sz w:val="32"/>
          <w:szCs w:val="32"/>
          <w:lang w:val="en-US" w:eastAsia="zh-CN"/>
        </w:rPr>
        <w:t>5</w:t>
      </w:r>
      <w:r>
        <w:rPr>
          <w:rFonts w:hint="eastAsia" w:ascii="仿宋_GB2312" w:eastAsia="仿宋_GB2312"/>
          <w:sz w:val="32"/>
          <w:szCs w:val="32"/>
        </w:rPr>
        <w:t>名，</w:t>
      </w:r>
      <w:r>
        <w:rPr>
          <w:rFonts w:hint="eastAsia" w:ascii="仿宋_GB2312" w:eastAsia="仿宋_GB2312"/>
          <w:sz w:val="32"/>
          <w:szCs w:val="32"/>
          <w:lang w:eastAsia="zh-CN"/>
        </w:rPr>
        <w:t>实有人员</w:t>
      </w:r>
      <w:r>
        <w:rPr>
          <w:rFonts w:hint="eastAsia" w:ascii="仿宋_GB2312" w:eastAsia="仿宋_GB2312"/>
          <w:sz w:val="32"/>
          <w:szCs w:val="32"/>
          <w:lang w:val="en-US" w:eastAsia="zh-CN"/>
        </w:rPr>
        <w:t>5名</w:t>
      </w:r>
      <w:r>
        <w:rPr>
          <w:rFonts w:hint="eastAsia" w:ascii="仿宋_GB2312" w:eastAsia="仿宋_GB2312"/>
          <w:sz w:val="32"/>
          <w:szCs w:val="32"/>
        </w:rPr>
        <w:t>。县“三农”资金审计中心</w:t>
      </w:r>
      <w:r>
        <w:rPr>
          <w:rFonts w:hint="eastAsia" w:ascii="仿宋_GB2312" w:eastAsia="仿宋_GB2312"/>
          <w:sz w:val="32"/>
          <w:szCs w:val="32"/>
          <w:lang w:eastAsia="zh-CN"/>
        </w:rPr>
        <w:t>隶属于正宁县审计局</w:t>
      </w:r>
      <w:r>
        <w:rPr>
          <w:rFonts w:hint="eastAsia" w:ascii="仿宋_GB2312" w:eastAsia="仿宋_GB2312"/>
          <w:sz w:val="32"/>
          <w:szCs w:val="32"/>
        </w:rPr>
        <w:t>，为副科级事业单位，核定事业编制</w:t>
      </w:r>
      <w:r>
        <w:rPr>
          <w:rFonts w:hint="eastAsia" w:ascii="仿宋_GB2312" w:eastAsia="仿宋_GB2312"/>
          <w:sz w:val="32"/>
          <w:szCs w:val="32"/>
          <w:lang w:val="en-US" w:eastAsia="zh-CN"/>
        </w:rPr>
        <w:t>6</w:t>
      </w:r>
      <w:r>
        <w:rPr>
          <w:rFonts w:hint="eastAsia" w:ascii="仿宋_GB2312" w:eastAsia="仿宋_GB2312"/>
          <w:sz w:val="32"/>
          <w:szCs w:val="32"/>
        </w:rPr>
        <w:t>名，</w:t>
      </w:r>
      <w:r>
        <w:rPr>
          <w:rFonts w:hint="eastAsia" w:ascii="仿宋_GB2312" w:eastAsia="仿宋_GB2312"/>
          <w:sz w:val="32"/>
          <w:szCs w:val="32"/>
          <w:lang w:eastAsia="zh-CN"/>
        </w:rPr>
        <w:t>实有人员</w:t>
      </w:r>
      <w:r>
        <w:rPr>
          <w:rFonts w:hint="eastAsia" w:ascii="仿宋_GB2312" w:eastAsia="仿宋_GB2312"/>
          <w:sz w:val="32"/>
          <w:szCs w:val="32"/>
          <w:lang w:val="en-US" w:eastAsia="zh-CN"/>
        </w:rPr>
        <w:t>9名</w:t>
      </w:r>
      <w:r>
        <w:rPr>
          <w:rFonts w:hint="eastAsia" w:ascii="仿宋_GB2312" w:eastAsia="仿宋_GB2312"/>
          <w:sz w:val="32"/>
          <w:szCs w:val="32"/>
        </w:rPr>
        <w:t>。</w:t>
      </w:r>
    </w:p>
    <w:p w14:paraId="47C191F0">
      <w:pPr>
        <w:pStyle w:val="2"/>
        <w:keepNext w:val="0"/>
        <w:keepLines w:val="0"/>
        <w:pageBreakBefore w:val="0"/>
        <w:numPr>
          <w:ilvl w:val="0"/>
          <w:numId w:val="2"/>
        </w:numPr>
        <w:kinsoku/>
        <w:wordWrap/>
        <w:overflowPunct/>
        <w:topLinePunct w:val="0"/>
        <w:bidi w:val="0"/>
        <w:adjustRightInd/>
        <w:spacing w:line="560" w:lineRule="exact"/>
        <w:ind w:leftChars="0" w:firstLine="643" w:firstLineChars="200"/>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当年部门履职总体目标、工作任务</w:t>
      </w:r>
    </w:p>
    <w:p w14:paraId="117F4898">
      <w:pPr>
        <w:keepNext w:val="0"/>
        <w:keepLines w:val="0"/>
        <w:pageBreakBefore w:val="0"/>
        <w:widowControl/>
        <w:kinsoku/>
        <w:wordWrap/>
        <w:overflowPunct/>
        <w:topLinePunct w:val="0"/>
        <w:bidi w:val="0"/>
        <w:adjustRightInd/>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中央、省委、市委审计委员会会议精神、经济工作会议精神和全国、全省、市级审计工作会议精神，依法有效履行审计监督职责。结合审计工作实际，全年精准谋划财政、企业、民生、经济责任等审计项目20个，有效发挥经济监督“特种部队”作用。</w:t>
      </w:r>
    </w:p>
    <w:p w14:paraId="31980057">
      <w:pPr>
        <w:pStyle w:val="2"/>
        <w:keepNext w:val="0"/>
        <w:keepLines w:val="0"/>
        <w:pageBreakBefore w:val="0"/>
        <w:numPr>
          <w:ilvl w:val="0"/>
          <w:numId w:val="2"/>
        </w:numPr>
        <w:kinsoku/>
        <w:wordWrap/>
        <w:overflowPunct/>
        <w:topLinePunct w:val="0"/>
        <w:bidi w:val="0"/>
        <w:adjustRightInd/>
        <w:spacing w:line="560" w:lineRule="exact"/>
        <w:ind w:left="0" w:leftChars="0" w:firstLine="643" w:firstLineChars="200"/>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 xml:space="preserve">当年部门年度整体支出绩效目标 </w:t>
      </w:r>
    </w:p>
    <w:p w14:paraId="2992F01B">
      <w:pPr>
        <w:keepNext w:val="0"/>
        <w:keepLines w:val="0"/>
        <w:pageBreakBefore w:val="0"/>
        <w:widowControl/>
        <w:kinsoku/>
        <w:wordWrap/>
        <w:overflowPunct/>
        <w:topLinePunct w:val="0"/>
        <w:bidi w:val="0"/>
        <w:adjustRightInd/>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全年精准谋划财政、企业、民生、经济责任等审计项目20个。</w:t>
      </w:r>
      <w:r>
        <w:rPr>
          <w:rFonts w:hint="eastAsia" w:ascii="仿宋_GB2312" w:hAnsi="仿宋_GB2312" w:eastAsia="仿宋_GB2312" w:cs="仿宋_GB2312"/>
          <w:sz w:val="32"/>
          <w:szCs w:val="32"/>
          <w:lang w:val="en-US" w:eastAsia="zh-CN"/>
        </w:rPr>
        <w:t>认真组织开展</w:t>
      </w:r>
      <w:r>
        <w:rPr>
          <w:rFonts w:hint="default" w:ascii="仿宋_GB2312" w:hAnsi="仿宋_GB2312" w:eastAsia="仿宋_GB2312" w:cs="仿宋_GB2312"/>
          <w:sz w:val="32"/>
          <w:szCs w:val="32"/>
          <w:lang w:val="en-US" w:eastAsia="zh-CN"/>
        </w:rPr>
        <w:t>“四强”审计、东西部协作资金审计、金融领域不良资产审计</w:t>
      </w:r>
      <w:r>
        <w:rPr>
          <w:rFonts w:hint="eastAsia" w:ascii="仿宋_GB2312" w:hAnsi="仿宋_GB2312" w:eastAsia="仿宋_GB2312" w:cs="仿宋_GB2312"/>
          <w:sz w:val="32"/>
          <w:szCs w:val="32"/>
          <w:lang w:val="en-US" w:eastAsia="zh-CN"/>
        </w:rPr>
        <w:t>等统审项目</w:t>
      </w:r>
      <w:r>
        <w:rPr>
          <w:rFonts w:hint="default" w:ascii="仿宋_GB2312" w:hAnsi="仿宋_GB2312" w:eastAsia="仿宋_GB2312" w:cs="仿宋_GB2312"/>
          <w:sz w:val="32"/>
          <w:szCs w:val="32"/>
          <w:lang w:val="en-US" w:eastAsia="zh-CN"/>
        </w:rPr>
        <w:t>，抽调</w:t>
      </w:r>
      <w:r>
        <w:rPr>
          <w:rFonts w:hint="eastAsia" w:ascii="仿宋_GB2312" w:hAnsi="仿宋_GB2312" w:eastAsia="仿宋_GB2312" w:cs="仿宋_GB2312"/>
          <w:sz w:val="32"/>
          <w:szCs w:val="32"/>
          <w:lang w:val="en-US" w:eastAsia="zh-CN"/>
        </w:rPr>
        <w:t>3名以上</w:t>
      </w:r>
      <w:r>
        <w:rPr>
          <w:rFonts w:hint="default" w:ascii="仿宋_GB2312" w:hAnsi="仿宋_GB2312" w:eastAsia="仿宋_GB2312" w:cs="仿宋_GB2312"/>
          <w:sz w:val="32"/>
          <w:szCs w:val="32"/>
          <w:lang w:val="en-US" w:eastAsia="zh-CN"/>
        </w:rPr>
        <w:t>审计业务骨干参加省市统审项目</w:t>
      </w:r>
      <w:r>
        <w:rPr>
          <w:rFonts w:hint="eastAsia" w:ascii="仿宋_GB2312" w:hAnsi="仿宋_GB2312" w:eastAsia="仿宋_GB2312" w:cs="仿宋_GB2312"/>
          <w:sz w:val="32"/>
          <w:szCs w:val="32"/>
          <w:lang w:val="en-US" w:eastAsia="zh-CN"/>
        </w:rPr>
        <w:t>，加快“金审”三期工程建设，提高县审计局信息化审计水平</w:t>
      </w:r>
      <w:r>
        <w:rPr>
          <w:rFonts w:hint="default" w:ascii="仿宋_GB2312" w:hAnsi="仿宋_GB2312" w:eastAsia="仿宋_GB2312" w:cs="仿宋_GB2312"/>
          <w:sz w:val="32"/>
          <w:szCs w:val="32"/>
          <w:lang w:val="en-US" w:eastAsia="zh-CN"/>
        </w:rPr>
        <w:t>。</w:t>
      </w:r>
    </w:p>
    <w:p w14:paraId="0708D3BE">
      <w:pPr>
        <w:pStyle w:val="2"/>
        <w:keepNext w:val="0"/>
        <w:keepLines w:val="0"/>
        <w:pageBreakBefore w:val="0"/>
        <w:numPr>
          <w:ilvl w:val="0"/>
          <w:numId w:val="2"/>
        </w:numPr>
        <w:kinsoku/>
        <w:wordWrap/>
        <w:overflowPunct/>
        <w:topLinePunct w:val="0"/>
        <w:bidi w:val="0"/>
        <w:adjustRightInd/>
        <w:spacing w:line="560" w:lineRule="exact"/>
        <w:ind w:left="0" w:leftChars="0" w:firstLine="643" w:firstLineChars="200"/>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 xml:space="preserve">部门预算绩效管理开展情况  </w:t>
      </w:r>
    </w:p>
    <w:p w14:paraId="2F03B2B3">
      <w:pPr>
        <w:keepNext w:val="0"/>
        <w:keepLines w:val="0"/>
        <w:pageBreakBefore w:val="0"/>
        <w:kinsoku/>
        <w:wordWrap/>
        <w:overflowPunct/>
        <w:topLinePunct w:val="0"/>
        <w:autoSpaceDN w:val="0"/>
        <w:bidi w:val="0"/>
        <w:adjustRightInd/>
        <w:spacing w:line="560" w:lineRule="exact"/>
        <w:ind w:firstLine="640"/>
        <w:jc w:val="left"/>
        <w:rPr>
          <w:rFonts w:hint="eastAsia" w:ascii="仿宋_GB2312" w:eastAsia="仿宋_GB2312"/>
          <w:color w:val="000000"/>
          <w:sz w:val="32"/>
          <w:szCs w:val="32"/>
          <w:lang w:val="en-US" w:eastAsia="zh-CN"/>
        </w:rPr>
      </w:pPr>
      <w:r>
        <w:rPr>
          <w:rFonts w:hint="eastAsia" w:ascii="仿宋_GB2312" w:eastAsia="仿宋_GB2312"/>
          <w:sz w:val="32"/>
          <w:szCs w:val="22"/>
          <w:lang w:val="en-US" w:eastAsia="zh-CN"/>
        </w:rPr>
        <w:t>我局按照年初预算，将</w:t>
      </w:r>
      <w:r>
        <w:rPr>
          <w:rFonts w:hint="default" w:ascii="仿宋_GB2312" w:eastAsia="仿宋_GB2312"/>
          <w:sz w:val="32"/>
          <w:szCs w:val="22"/>
          <w:lang w:val="en-US" w:eastAsia="zh-CN"/>
        </w:rPr>
        <w:t>20</w:t>
      </w:r>
      <w:r>
        <w:rPr>
          <w:rFonts w:hint="eastAsia" w:ascii="仿宋_GB2312" w:eastAsia="仿宋_GB2312"/>
          <w:sz w:val="32"/>
          <w:szCs w:val="22"/>
          <w:lang w:val="en-US" w:eastAsia="zh-CN"/>
        </w:rPr>
        <w:t>23年度457.51万元预算</w:t>
      </w:r>
      <w:r>
        <w:rPr>
          <w:rFonts w:hint="eastAsia" w:ascii="仿宋_GB2312" w:eastAsia="仿宋_GB2312"/>
          <w:color w:val="000000"/>
          <w:sz w:val="32"/>
          <w:szCs w:val="32"/>
          <w:lang w:val="en-US" w:eastAsia="zh-CN"/>
        </w:rPr>
        <w:t>资金细化为办公费、差旅费、印刷费、社会购买服务费、审计委托业务费等支出。根据按照财政部门要求和相关规定，结合我局的实际情况，制定了年度绩效目标。依据相关财务和会计制度，在严格实行专款专用的前提下进行了实时监控、全程监督，并根据报表与数据，核实项目进展和质量监控情况，给予评估。</w:t>
      </w:r>
      <w:r>
        <w:rPr>
          <w:rFonts w:hint="default" w:ascii="仿宋_GB2312" w:eastAsia="仿宋_GB2312"/>
          <w:color w:val="000000"/>
          <w:sz w:val="32"/>
          <w:szCs w:val="32"/>
          <w:lang w:val="en-US" w:eastAsia="zh-CN"/>
        </w:rPr>
        <w:t>20</w:t>
      </w:r>
      <w:r>
        <w:rPr>
          <w:rFonts w:hint="eastAsia" w:ascii="仿宋_GB2312" w:eastAsia="仿宋_GB2312"/>
          <w:color w:val="000000"/>
          <w:sz w:val="32"/>
          <w:szCs w:val="32"/>
          <w:lang w:val="en-US" w:eastAsia="zh-CN"/>
        </w:rPr>
        <w:t>24年3月，我局组织了由分管领导及相关工作人员，对2023年度县财政实际拨付我局409.53万元的支出进行了核查，并在此基础上形成了绩效评价结论，任务达到了预期目标。</w:t>
      </w:r>
    </w:p>
    <w:p w14:paraId="293198B6">
      <w:pPr>
        <w:keepNext w:val="0"/>
        <w:keepLines w:val="0"/>
        <w:pageBreakBefore w:val="0"/>
        <w:numPr>
          <w:ilvl w:val="0"/>
          <w:numId w:val="2"/>
        </w:numPr>
        <w:kinsoku/>
        <w:wordWrap/>
        <w:overflowPunct/>
        <w:topLinePunct w:val="0"/>
        <w:bidi w:val="0"/>
        <w:adjustRightInd/>
        <w:spacing w:line="560" w:lineRule="exact"/>
        <w:ind w:left="0" w:leftChars="0" w:firstLine="643" w:firstLineChars="200"/>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 xml:space="preserve">当年部门预算及执行情况  </w:t>
      </w:r>
    </w:p>
    <w:p w14:paraId="4C68C5FC">
      <w:pPr>
        <w:pStyle w:val="2"/>
        <w:keepNext w:val="0"/>
        <w:keepLines w:val="0"/>
        <w:pageBreakBefore w:val="0"/>
        <w:kinsoku/>
        <w:wordWrap/>
        <w:overflowPunct/>
        <w:topLinePunct w:val="0"/>
        <w:bidi w:val="0"/>
        <w:adjustRightInd/>
        <w:spacing w:line="560" w:lineRule="exact"/>
        <w:ind w:firstLine="640" w:firstLineChars="200"/>
        <w:rPr>
          <w:rFonts w:hint="default"/>
          <w:lang w:val="en-US" w:eastAsia="zh-CN"/>
        </w:rPr>
      </w:pPr>
      <w:r>
        <w:rPr>
          <w:rFonts w:hint="default" w:ascii="仿宋_GB2312" w:eastAsia="仿宋_GB2312"/>
          <w:color w:val="000000"/>
          <w:sz w:val="32"/>
          <w:szCs w:val="32"/>
          <w:lang w:val="en-US" w:eastAsia="zh-CN"/>
        </w:rPr>
        <w:t>20</w:t>
      </w:r>
      <w:r>
        <w:rPr>
          <w:rFonts w:hint="eastAsia" w:ascii="仿宋_GB2312" w:eastAsia="仿宋_GB2312"/>
          <w:color w:val="000000"/>
          <w:sz w:val="32"/>
          <w:szCs w:val="32"/>
          <w:lang w:val="en-US" w:eastAsia="zh-CN"/>
        </w:rPr>
        <w:t>23年县财政局下达预算资金457.51万元，其中：基本支出432.51万元、项目支出25万元；全年实际拨付409.53万元，其中：基本支出388.52万元、项目支出15万元。预算执行率为89.51%。</w:t>
      </w:r>
    </w:p>
    <w:p w14:paraId="47BBB2E0">
      <w:pPr>
        <w:pStyle w:val="2"/>
        <w:keepNext w:val="0"/>
        <w:keepLines w:val="0"/>
        <w:pageBreakBefore w:val="0"/>
        <w:numPr>
          <w:ilvl w:val="0"/>
          <w:numId w:val="0"/>
        </w:numPr>
        <w:kinsoku/>
        <w:wordWrap/>
        <w:overflowPunct/>
        <w:topLinePunct w:val="0"/>
        <w:bidi w:val="0"/>
        <w:adjustRightInd/>
        <w:spacing w:line="560" w:lineRule="exact"/>
        <w:ind w:leftChars="200"/>
        <w:rPr>
          <w:rFonts w:hint="default"/>
          <w:lang w:val="en-US" w:eastAsia="zh-CN"/>
        </w:rPr>
      </w:pPr>
      <w:r>
        <w:rPr>
          <w:rFonts w:hint="eastAsia" w:ascii="黑体" w:hAnsi="黑体" w:eastAsia="黑体" w:cs="黑体"/>
          <w:color w:val="000000"/>
          <w:sz w:val="32"/>
          <w:szCs w:val="32"/>
        </w:rPr>
        <w:t xml:space="preserve">二、部门整体支出绩效实际情况 </w:t>
      </w:r>
      <w:r>
        <w:rPr>
          <w:rFonts w:hint="eastAsia" w:ascii="宋体" w:hAnsi="宋体" w:eastAsia="宋体" w:cs="宋体"/>
          <w:color w:val="000000"/>
        </w:rPr>
        <w:t xml:space="preserve">  </w:t>
      </w:r>
    </w:p>
    <w:p w14:paraId="7F8E6B5F">
      <w:pPr>
        <w:pStyle w:val="6"/>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（一）产出指标</w:t>
      </w:r>
    </w:p>
    <w:p w14:paraId="3B972804">
      <w:pPr>
        <w:keepNext w:val="0"/>
        <w:keepLines w:val="0"/>
        <w:pageBreakBefore w:val="0"/>
        <w:numPr>
          <w:ilvl w:val="0"/>
          <w:numId w:val="3"/>
        </w:numPr>
        <w:kinsoku/>
        <w:wordWrap/>
        <w:overflowPunct/>
        <w:topLinePunct w:val="0"/>
        <w:autoSpaceDE w:val="0"/>
        <w:bidi w:val="0"/>
        <w:adjustRightInd/>
        <w:spacing w:line="560" w:lineRule="exact"/>
        <w:ind w:firstLine="640" w:firstLineChars="200"/>
        <w:textAlignment w:val="baseline"/>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数量指标：全年</w:t>
      </w:r>
      <w:r>
        <w:rPr>
          <w:rFonts w:hint="eastAsia" w:ascii="仿宋_GB2312" w:eastAsia="仿宋_GB2312"/>
          <w:sz w:val="32"/>
          <w:szCs w:val="32"/>
        </w:rPr>
        <w:t>精准谋划财政、企业、民生、经济责任等审计项目20个。</w:t>
      </w:r>
      <w:r>
        <w:rPr>
          <w:rFonts w:hint="eastAsia" w:ascii="仿宋_GB2312" w:eastAsia="仿宋_GB2312"/>
          <w:sz w:val="32"/>
          <w:szCs w:val="32"/>
          <w:lang w:val="en-US" w:eastAsia="zh-CN"/>
        </w:rPr>
        <w:t>在优化资源配置中</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组织实施审计项目22个，占计划的110%，</w:t>
      </w:r>
      <w:r>
        <w:rPr>
          <w:rFonts w:hint="eastAsia" w:ascii="仿宋_GB2312" w:hAnsi="仿宋_GB2312" w:eastAsia="仿宋_GB2312" w:cs="仿宋_GB2312"/>
          <w:kern w:val="0"/>
          <w:sz w:val="32"/>
          <w:szCs w:val="32"/>
          <w:lang w:val="en-US" w:eastAsia="zh-CN"/>
        </w:rPr>
        <w:t>出具审计报告和专项审计调查报告19份（</w:t>
      </w:r>
      <w:r>
        <w:rPr>
          <w:rFonts w:hint="eastAsia" w:ascii="仿宋_GB2312" w:hAnsi="仿宋_GB2312" w:eastAsia="仿宋_GB2312" w:cs="仿宋_GB2312"/>
          <w:kern w:val="0"/>
          <w:sz w:val="21"/>
          <w:szCs w:val="21"/>
          <w:lang w:val="en-US" w:eastAsia="zh-CN"/>
        </w:rPr>
        <w:t>不含</w:t>
      </w:r>
      <w:r>
        <w:rPr>
          <w:rFonts w:hint="default"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eastAsia="zh-CN"/>
        </w:rPr>
        <w:t>四强</w:t>
      </w:r>
      <w:r>
        <w:rPr>
          <w:rFonts w:hint="default"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eastAsia="zh-CN"/>
        </w:rPr>
        <w:t>审计、东西部协作资金审计、金融领域不良资产审计三个项目</w:t>
      </w:r>
      <w:r>
        <w:rPr>
          <w:rFonts w:hint="eastAsia" w:ascii="仿宋_GB2312" w:hAnsi="仿宋_GB2312" w:eastAsia="仿宋_GB2312" w:cs="仿宋_GB2312"/>
          <w:kern w:val="0"/>
          <w:sz w:val="32"/>
          <w:szCs w:val="32"/>
          <w:lang w:val="en-US" w:eastAsia="zh-CN"/>
        </w:rPr>
        <w:t>），审计查出问题119个，提出审计建议34条。</w:t>
      </w:r>
      <w:r>
        <w:rPr>
          <w:rFonts w:hint="eastAsia" w:ascii="仿宋_GB2312" w:eastAsia="仿宋_GB2312"/>
          <w:kern w:val="0"/>
          <w:sz w:val="32"/>
          <w:szCs w:val="32"/>
          <w:lang w:val="en-US" w:eastAsia="zh-CN"/>
        </w:rPr>
        <w:t>抽调5名审计业务骨干参加省市统审项目3个</w:t>
      </w:r>
      <w:r>
        <w:rPr>
          <w:rFonts w:hint="eastAsia" w:ascii="仿宋_GB2312" w:eastAsia="仿宋_GB2312" w:cs="Times New Roman"/>
          <w:color w:val="000000"/>
          <w:kern w:val="2"/>
          <w:sz w:val="32"/>
          <w:szCs w:val="32"/>
          <w:lang w:val="en-US" w:eastAsia="zh-CN" w:bidi="ar-SA"/>
        </w:rPr>
        <w:t>。</w:t>
      </w:r>
    </w:p>
    <w:p w14:paraId="5EC3BBF3">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（2）质量指标：</w:t>
      </w:r>
      <w:r>
        <w:rPr>
          <w:rFonts w:hint="eastAsia" w:ascii="仿宋_GB2312" w:hAnsi="仿宋_GB2312" w:eastAsia="仿宋_GB2312" w:cs="仿宋_GB2312"/>
          <w:kern w:val="0"/>
          <w:sz w:val="32"/>
          <w:szCs w:val="32"/>
          <w:lang w:val="en-US" w:eastAsia="zh-CN"/>
        </w:rPr>
        <w:t>首次购买社会服务开展政府投资审计，核减工程造价85.07万元。2022年县级财政预算执行审计项目被评为全市优秀审计项目二等奖，</w:t>
      </w:r>
      <w:r>
        <w:rPr>
          <w:rFonts w:hint="eastAsia" w:ascii="仿宋_GB2312" w:eastAsia="仿宋_GB2312" w:cs="Times New Roman"/>
          <w:color w:val="000000"/>
          <w:kern w:val="2"/>
          <w:sz w:val="32"/>
          <w:szCs w:val="32"/>
          <w:lang w:val="en-US" w:eastAsia="zh-CN" w:bidi="ar-SA"/>
        </w:rPr>
        <w:t>审计项目合格率和审计问题整改率进一步提高，“金审”三期信息系统运行稳定且高效，审计人员培训需求得到满足，审计人员业务能力进一步提高。</w:t>
      </w:r>
    </w:p>
    <w:p w14:paraId="73AFD774">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（3）时效指标：资金下达及时、各类费用报销及时，审计项目现场实施时间按定额的时间完成，审计项目进展及时高效。</w:t>
      </w:r>
    </w:p>
    <w:p w14:paraId="249D9066">
      <w:pPr>
        <w:pStyle w:val="6"/>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（二）效益指标</w:t>
      </w:r>
    </w:p>
    <w:p w14:paraId="3F24D0AC">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（1）经济效益：审计监督聚焦重点领域、关键环节，看好政府“钱袋子”，促进完善预算管理，推动财政资金提质增效。</w:t>
      </w:r>
      <w:r>
        <w:rPr>
          <w:rFonts w:hint="eastAsia" w:ascii="仿宋_GB2312" w:hAnsi="仿宋_GB2312" w:eastAsia="仿宋_GB2312" w:cs="仿宋_GB2312"/>
          <w:kern w:val="0"/>
          <w:sz w:val="32"/>
          <w:szCs w:val="32"/>
          <w:lang w:val="en-US" w:eastAsia="zh-CN"/>
        </w:rPr>
        <w:t>审计资金总额339605.10万元，管理不规范资金59917.05万元，查处违规资金2274.77万元，上缴财政资金34.29万元，归还原渠道资金2157.45万元，促进拨付到位资金2653.82万元。</w:t>
      </w:r>
    </w:p>
    <w:p w14:paraId="0214C14A">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（1）社会效益：加强审计监督与各类监督贯通融合，不断增强监督治理效能，深化审计监督与纪检监察监督有机贯通融合，通过审计监督专业力量，汇聚监督合力，助力正风肃纪反腐，不断释放治理效能。</w:t>
      </w:r>
    </w:p>
    <w:p w14:paraId="0BEDCB54">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可持续影响指标：多措并举加强审计人才队伍建设，坚持干什么学什么、缺什么补什么，精准施策，创新培训形式和渠道。选派审计业务人员参加省市审计机关组织的大数据审计、审计业务骨干等各类专业培训班，切实提高审计工作的专业化水平。</w:t>
      </w:r>
    </w:p>
    <w:p w14:paraId="6459F4B9">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（三）满意度指标</w:t>
      </w:r>
    </w:p>
    <w:p w14:paraId="650F19DF">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服务对象满意度指标：“金审”三期高清视频系统使用满意度100%。</w:t>
      </w:r>
    </w:p>
    <w:p w14:paraId="023000A8">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三、部门整体支出绩效中存在问题及改进措施</w:t>
      </w:r>
    </w:p>
    <w:p w14:paraId="5F05119C">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 xml:space="preserve">（一）主要问题及原因分析  </w:t>
      </w:r>
    </w:p>
    <w:p w14:paraId="020CA5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leftChars="0" w:right="0" w:firstLine="629"/>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通过自评，我局项目产出的数量、质量普遍达到了预期，但目前，我局</w:t>
      </w:r>
      <w:r>
        <w:rPr>
          <w:rFonts w:hint="eastAsia" w:ascii="仿宋_GB2312" w:eastAsia="仿宋_GB2312" w:cs="Times New Roman"/>
          <w:color w:val="000000"/>
          <w:kern w:val="2"/>
          <w:sz w:val="32"/>
          <w:szCs w:val="32"/>
          <w:lang w:val="en-US" w:eastAsia="zh-CN" w:bidi="ar-SA"/>
        </w:rPr>
        <w:t>还存在</w:t>
      </w:r>
      <w:r>
        <w:rPr>
          <w:rFonts w:hint="eastAsia" w:ascii="仿宋_GB2312" w:hAnsi="Times New Roman" w:eastAsia="仿宋_GB2312" w:cs="Times New Roman"/>
          <w:color w:val="000000"/>
          <w:kern w:val="2"/>
          <w:sz w:val="32"/>
          <w:szCs w:val="32"/>
          <w:lang w:val="en-US" w:eastAsia="zh-CN" w:bidi="ar-SA"/>
        </w:rPr>
        <w:t>信息专业人才相对不足，</w:t>
      </w:r>
      <w:r>
        <w:rPr>
          <w:rFonts w:hint="eastAsia" w:ascii="仿宋_GB2312" w:eastAsia="仿宋_GB2312" w:cs="Times New Roman"/>
          <w:color w:val="000000"/>
          <w:kern w:val="2"/>
          <w:sz w:val="32"/>
          <w:szCs w:val="32"/>
          <w:lang w:val="en-US" w:eastAsia="zh-CN" w:bidi="ar-SA"/>
        </w:rPr>
        <w:t>信息化</w:t>
      </w:r>
      <w:r>
        <w:rPr>
          <w:rFonts w:hint="eastAsia" w:ascii="仿宋_GB2312" w:hAnsi="Times New Roman" w:eastAsia="仿宋_GB2312" w:cs="Times New Roman"/>
          <w:color w:val="000000"/>
          <w:kern w:val="2"/>
          <w:sz w:val="32"/>
          <w:szCs w:val="32"/>
          <w:lang w:val="en-US" w:eastAsia="zh-CN" w:bidi="ar-SA"/>
        </w:rPr>
        <w:t>支撑不够到位</w:t>
      </w:r>
      <w:r>
        <w:rPr>
          <w:rFonts w:hint="eastAsia" w:ascii="仿宋_GB2312" w:eastAsia="仿宋_GB2312" w:cs="Times New Roman"/>
          <w:color w:val="000000"/>
          <w:kern w:val="2"/>
          <w:sz w:val="32"/>
          <w:szCs w:val="32"/>
          <w:lang w:val="en-US" w:eastAsia="zh-CN" w:bidi="ar-SA"/>
        </w:rPr>
        <w:t>等问题</w:t>
      </w:r>
      <w:r>
        <w:rPr>
          <w:rFonts w:hint="eastAsia" w:ascii="仿宋_GB2312" w:hAnsi="Times New Roman" w:eastAsia="仿宋_GB2312" w:cs="Times New Roman"/>
          <w:color w:val="000000"/>
          <w:kern w:val="2"/>
          <w:sz w:val="32"/>
          <w:szCs w:val="32"/>
          <w:lang w:val="en-US" w:eastAsia="zh-CN" w:bidi="ar-SA"/>
        </w:rPr>
        <w:t>。我</w:t>
      </w:r>
      <w:r>
        <w:rPr>
          <w:rFonts w:hint="eastAsia" w:ascii="仿宋_GB2312" w:eastAsia="仿宋_GB2312" w:cs="Times New Roman"/>
          <w:color w:val="000000"/>
          <w:kern w:val="2"/>
          <w:sz w:val="32"/>
          <w:szCs w:val="32"/>
          <w:lang w:val="en-US" w:eastAsia="zh-CN" w:bidi="ar-SA"/>
        </w:rPr>
        <w:t>们</w:t>
      </w:r>
      <w:r>
        <w:rPr>
          <w:rFonts w:hint="eastAsia" w:ascii="仿宋_GB2312" w:hAnsi="Times New Roman" w:eastAsia="仿宋_GB2312" w:cs="Times New Roman"/>
          <w:color w:val="000000"/>
          <w:kern w:val="2"/>
          <w:sz w:val="32"/>
          <w:szCs w:val="32"/>
          <w:lang w:val="en-US" w:eastAsia="zh-CN" w:bidi="ar-SA"/>
        </w:rPr>
        <w:t>将以</w:t>
      </w:r>
      <w:r>
        <w:rPr>
          <w:rFonts w:hint="eastAsia" w:ascii="仿宋_GB2312" w:eastAsia="仿宋_GB2312" w:cs="Times New Roman"/>
          <w:color w:val="000000"/>
          <w:kern w:val="2"/>
          <w:sz w:val="32"/>
          <w:szCs w:val="32"/>
          <w:lang w:val="en-US" w:eastAsia="zh-CN" w:bidi="ar-SA"/>
        </w:rPr>
        <w:t>这</w:t>
      </w:r>
      <w:r>
        <w:rPr>
          <w:rFonts w:hint="eastAsia" w:ascii="仿宋_GB2312" w:hAnsi="Times New Roman" w:eastAsia="仿宋_GB2312" w:cs="Times New Roman"/>
          <w:color w:val="000000"/>
          <w:kern w:val="2"/>
          <w:sz w:val="32"/>
          <w:szCs w:val="32"/>
          <w:lang w:val="en-US" w:eastAsia="zh-CN" w:bidi="ar-SA"/>
        </w:rPr>
        <w:t>次绩效考评工作为</w:t>
      </w:r>
      <w:r>
        <w:rPr>
          <w:rFonts w:hint="eastAsia" w:ascii="仿宋_GB2312" w:eastAsia="仿宋_GB2312" w:cs="Times New Roman"/>
          <w:color w:val="000000"/>
          <w:kern w:val="2"/>
          <w:sz w:val="32"/>
          <w:szCs w:val="32"/>
          <w:lang w:val="en-US" w:eastAsia="zh-CN" w:bidi="ar-SA"/>
        </w:rPr>
        <w:t>契机</w:t>
      </w:r>
      <w:r>
        <w:rPr>
          <w:rFonts w:hint="eastAsia" w:ascii="仿宋_GB2312" w:hAnsi="Times New Roman" w:eastAsia="仿宋_GB2312" w:cs="Times New Roman"/>
          <w:color w:val="000000"/>
          <w:kern w:val="2"/>
          <w:sz w:val="32"/>
          <w:szCs w:val="32"/>
          <w:lang w:val="en-US" w:eastAsia="zh-CN" w:bidi="ar-SA"/>
        </w:rPr>
        <w:t>，加强业务学习，组织人员认真领会，充分认识财政支出绩效评价的重要性和必要性。进一步全面、细致地制定绩效目标，严肃财经纪律，严格遵循</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实事求是、尊重客观、力求精准</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的原则，努力使项目资金落到实处。</w:t>
      </w:r>
    </w:p>
    <w:p w14:paraId="62425384">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Tahoma"/>
          <w:b/>
          <w:bCs/>
          <w:kern w:val="0"/>
          <w:sz w:val="32"/>
          <w:szCs w:val="32"/>
          <w:lang w:val="en-US" w:eastAsia="zh-CN" w:bidi="ar-SA"/>
        </w:rPr>
      </w:pPr>
      <w:r>
        <w:rPr>
          <w:rFonts w:hint="eastAsia" w:ascii="楷体_GB2312" w:hAnsi="楷体" w:eastAsia="楷体_GB2312" w:cs="Tahoma"/>
          <w:b/>
          <w:bCs/>
          <w:kern w:val="0"/>
          <w:sz w:val="32"/>
          <w:szCs w:val="32"/>
          <w:lang w:val="en-US" w:eastAsia="zh-CN" w:bidi="ar-SA"/>
        </w:rPr>
        <w:t>（二）改进的方向和具体措施</w:t>
      </w:r>
    </w:p>
    <w:p w14:paraId="758E90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leftChars="0" w:right="0" w:firstLine="629"/>
        <w:jc w:val="left"/>
        <w:textAlignment w:val="auto"/>
        <w:rPr>
          <w:rStyle w:val="7"/>
          <w:rFonts w:hint="eastAsia" w:ascii="仿宋_GB2312" w:hAnsi="仿宋_GB2312" w:eastAsia="仿宋_GB2312" w:cs="仿宋_GB2312"/>
          <w:kern w:val="0"/>
          <w:sz w:val="32"/>
          <w:szCs w:val="32"/>
          <w:lang w:eastAsia="zh-CN"/>
        </w:rPr>
      </w:pPr>
      <w:r>
        <w:rPr>
          <w:rFonts w:hint="eastAsia" w:ascii="仿宋_GB2312" w:eastAsia="仿宋_GB2312" w:cs="Times New Roman"/>
          <w:color w:val="000000"/>
          <w:kern w:val="2"/>
          <w:sz w:val="32"/>
          <w:szCs w:val="32"/>
          <w:lang w:val="en-US" w:eastAsia="zh-CN" w:bidi="ar-SA"/>
        </w:rPr>
        <w:t>今后</w:t>
      </w:r>
      <w:r>
        <w:rPr>
          <w:rFonts w:hint="eastAsia" w:ascii="仿宋_GB2312" w:hAnsi="Times New Roman" w:eastAsia="仿宋_GB2312" w:cs="Times New Roman"/>
          <w:color w:val="000000"/>
          <w:kern w:val="2"/>
          <w:sz w:val="32"/>
          <w:szCs w:val="32"/>
          <w:lang w:val="en-US" w:eastAsia="zh-CN" w:bidi="ar-SA"/>
        </w:rPr>
        <w:t>，我们将</w:t>
      </w:r>
      <w:r>
        <w:rPr>
          <w:rFonts w:hint="eastAsia" w:ascii="仿宋_GB2312" w:eastAsia="仿宋_GB2312" w:cs="Times New Roman"/>
          <w:color w:val="000000"/>
          <w:kern w:val="2"/>
          <w:sz w:val="32"/>
          <w:szCs w:val="32"/>
          <w:lang w:val="en-US" w:eastAsia="zh-CN" w:bidi="ar-SA"/>
        </w:rPr>
        <w:t>持</w:t>
      </w:r>
      <w:r>
        <w:rPr>
          <w:rFonts w:hint="eastAsia" w:ascii="仿宋_GB2312" w:hAnsi="Times New Roman" w:eastAsia="仿宋_GB2312" w:cs="Times New Roman"/>
          <w:color w:val="000000"/>
          <w:kern w:val="2"/>
          <w:sz w:val="32"/>
          <w:szCs w:val="32"/>
          <w:lang w:val="en-US" w:eastAsia="zh-CN" w:bidi="ar-SA"/>
        </w:rPr>
        <w:t>续关注财政管理、部门预算执行，民生福祉和</w:t>
      </w:r>
      <w:r>
        <w:rPr>
          <w:rFonts w:hint="eastAsia" w:ascii="仿宋_GB2312" w:eastAsia="仿宋_GB2312" w:cs="Times New Roman"/>
          <w:color w:val="000000"/>
          <w:kern w:val="2"/>
          <w:sz w:val="32"/>
          <w:szCs w:val="32"/>
          <w:lang w:val="en-US" w:eastAsia="zh-CN" w:bidi="ar-SA"/>
        </w:rPr>
        <w:t>生态环境</w:t>
      </w:r>
      <w:r>
        <w:rPr>
          <w:rFonts w:hint="eastAsia" w:ascii="仿宋_GB2312" w:hAnsi="Times New Roman" w:eastAsia="仿宋_GB2312" w:cs="Times New Roman"/>
          <w:color w:val="000000"/>
          <w:kern w:val="2"/>
          <w:sz w:val="32"/>
          <w:szCs w:val="32"/>
          <w:lang w:val="en-US" w:eastAsia="zh-CN" w:bidi="ar-SA"/>
        </w:rPr>
        <w:t>保护等问题，科学统筹，加强问题查处和揭露力度，强化审计服务，维护民生利益。</w:t>
      </w:r>
      <w:r>
        <w:rPr>
          <w:rFonts w:hint="eastAsia" w:ascii="仿宋_GB2312" w:eastAsia="仿宋_GB2312" w:cs="Times New Roman"/>
          <w:color w:val="000000"/>
          <w:kern w:val="2"/>
          <w:sz w:val="32"/>
          <w:szCs w:val="32"/>
          <w:lang w:val="en-US" w:eastAsia="zh-CN" w:bidi="ar-SA"/>
        </w:rPr>
        <w:t>今后</w:t>
      </w:r>
      <w:r>
        <w:rPr>
          <w:rFonts w:hint="eastAsia" w:ascii="楷体_GB2312" w:hAnsi="楷体_GB2312" w:eastAsia="楷体_GB2312" w:cs="楷体_GB2312"/>
          <w:b/>
          <w:bCs/>
          <w:i w:val="0"/>
          <w:iCs w:val="0"/>
          <w:caps w:val="0"/>
          <w:color w:val="333333"/>
          <w:spacing w:val="0"/>
          <w:sz w:val="32"/>
          <w:szCs w:val="32"/>
          <w:shd w:val="clear" w:fill="FFFFFF"/>
          <w:lang w:val="en-US" w:eastAsia="zh-CN"/>
        </w:rPr>
        <w:t>一是</w:t>
      </w:r>
      <w:r>
        <w:rPr>
          <w:rFonts w:hint="eastAsia" w:ascii="楷体_GB2312" w:hAnsi="楷体_GB2312" w:eastAsia="楷体_GB2312" w:cs="楷体_GB2312"/>
          <w:b/>
          <w:bCs/>
          <w:i w:val="0"/>
          <w:iCs w:val="0"/>
          <w:caps w:val="0"/>
          <w:color w:val="333333"/>
          <w:spacing w:val="0"/>
          <w:sz w:val="32"/>
          <w:szCs w:val="32"/>
          <w:shd w:val="clear" w:fill="FFFFFF"/>
        </w:rPr>
        <w:t>强化审计预警预报</w:t>
      </w: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防范风险隐患。</w:t>
      </w:r>
      <w:r>
        <w:rPr>
          <w:rFonts w:hint="eastAsia" w:ascii="仿宋_GB2312" w:hAnsi="仿宋_GB2312" w:eastAsia="仿宋_GB2312" w:cs="仿宋_GB2312"/>
          <w:sz w:val="32"/>
          <w:szCs w:val="32"/>
          <w:lang w:val="en-US" w:eastAsia="zh-CN"/>
        </w:rPr>
        <w:t>坚持“围绕中心、服务大局”的工作原则，提前谋划，突出导向需求。有效防范经济运行的风险隐患，发挥警示前哨作用。</w:t>
      </w:r>
      <w:r>
        <w:rPr>
          <w:rFonts w:hint="eastAsia" w:ascii="楷体_GB2312" w:hAnsi="楷体_GB2312" w:eastAsia="楷体_GB2312" w:cs="楷体_GB2312"/>
          <w:b/>
          <w:bCs/>
          <w:i w:val="0"/>
          <w:iCs w:val="0"/>
          <w:caps w:val="0"/>
          <w:color w:val="333333"/>
          <w:spacing w:val="0"/>
          <w:sz w:val="32"/>
          <w:szCs w:val="32"/>
          <w:shd w:val="clear" w:fill="FFFFFF"/>
          <w:lang w:val="en-US" w:eastAsia="zh-CN"/>
        </w:rPr>
        <w:t>二是强化审计监督，配合省市开展统审。</w:t>
      </w:r>
      <w:r>
        <w:rPr>
          <w:rFonts w:hint="eastAsia" w:ascii="仿宋_GB2312" w:hAnsi="仿宋_GB2312" w:eastAsia="仿宋_GB2312" w:cs="仿宋_GB2312"/>
          <w:sz w:val="32"/>
          <w:szCs w:val="32"/>
          <w:lang w:val="en-US" w:eastAsia="zh-CN"/>
        </w:rPr>
        <w:t>积极配合省市审计机关开展“庆阳市党政主要领导任中经济责任履行情况”等审计项目，做好省市审计组衔接汇报和沟通，有效防范化解重大风险，帮助指导有关部门纠改反馈问题，减轻整改压力。</w:t>
      </w:r>
      <w:r>
        <w:rPr>
          <w:rFonts w:hint="eastAsia" w:ascii="楷体_GB2312" w:hAnsi="楷体_GB2312" w:eastAsia="楷体_GB2312" w:cs="楷体_GB2312"/>
          <w:b/>
          <w:bCs/>
          <w:i w:val="0"/>
          <w:iCs w:val="0"/>
          <w:caps w:val="0"/>
          <w:color w:val="000000"/>
          <w:spacing w:val="0"/>
          <w:sz w:val="32"/>
          <w:szCs w:val="32"/>
          <w:lang w:val="en-US" w:eastAsia="zh-CN"/>
        </w:rPr>
        <w:t>三是</w:t>
      </w:r>
      <w:r>
        <w:rPr>
          <w:rFonts w:hint="eastAsia" w:ascii="楷体_GB2312" w:hAnsi="楷体_GB2312" w:eastAsia="楷体_GB2312" w:cs="楷体_GB2312"/>
          <w:b/>
          <w:bCs/>
          <w:sz w:val="32"/>
          <w:szCs w:val="32"/>
          <w:lang w:val="en-US" w:eastAsia="zh-CN"/>
        </w:rPr>
        <w:t>实施</w:t>
      </w:r>
      <w:r>
        <w:rPr>
          <w:rFonts w:hint="eastAsia" w:ascii="楷体_GB2312" w:hAnsi="楷体_GB2312" w:eastAsia="楷体_GB2312" w:cs="楷体_GB2312"/>
          <w:b/>
          <w:bCs/>
          <w:i w:val="0"/>
          <w:iCs w:val="0"/>
          <w:caps w:val="0"/>
          <w:color w:val="000000"/>
          <w:spacing w:val="0"/>
          <w:sz w:val="32"/>
          <w:szCs w:val="32"/>
          <w:lang w:val="en-US" w:eastAsia="zh-CN"/>
        </w:rPr>
        <w:t>“五大行动”，</w:t>
      </w:r>
      <w:r>
        <w:rPr>
          <w:rFonts w:hint="eastAsia" w:ascii="楷体_GB2312" w:hAnsi="楷体_GB2312" w:eastAsia="楷体_GB2312" w:cs="楷体_GB2312"/>
          <w:b/>
          <w:bCs/>
          <w:i w:val="0"/>
          <w:iCs w:val="0"/>
          <w:caps w:val="0"/>
          <w:color w:val="000000"/>
          <w:spacing w:val="0"/>
          <w:sz w:val="32"/>
          <w:szCs w:val="32"/>
          <w:shd w:val="clear" w:color="auto" w:fill="FFFFFF"/>
          <w:lang w:val="en-US" w:eastAsia="zh-CN"/>
        </w:rPr>
        <w:t>推动审计工作高质量发展</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b w:val="0"/>
          <w:bCs w:val="0"/>
          <w:sz w:val="32"/>
          <w:szCs w:val="32"/>
          <w:lang w:val="en-US" w:eastAsia="zh-CN"/>
        </w:rPr>
        <w:t>坚持审计质量是审计工作生命线的理念，</w:t>
      </w:r>
      <w:r>
        <w:rPr>
          <w:rStyle w:val="7"/>
          <w:rFonts w:hint="eastAsia" w:eastAsia="仿宋_GB2312"/>
          <w:kern w:val="0"/>
          <w:sz w:val="32"/>
          <w:szCs w:val="32"/>
          <w:lang w:val="en-US" w:eastAsia="zh-CN"/>
        </w:rPr>
        <w:t>继续开展“政治立审、法治兴审、创新活审、科技强审、从严治审”五大行动，坚持查真相、说真话、报实情，全面提升审计工作质量。</w:t>
      </w:r>
      <w:r>
        <w:rPr>
          <w:rFonts w:hint="eastAsia" w:ascii="楷体_GB2312" w:hAnsi="楷体_GB2312" w:eastAsia="楷体_GB2312" w:cs="楷体_GB2312"/>
          <w:b/>
          <w:bCs/>
          <w:sz w:val="32"/>
          <w:szCs w:val="32"/>
          <w:lang w:val="en-US" w:eastAsia="zh-CN"/>
        </w:rPr>
        <w:t>四是做好审计“后半篇文章”，抓好审计整改。</w:t>
      </w:r>
      <w:r>
        <w:rPr>
          <w:rFonts w:hint="eastAsia" w:ascii="仿宋_GB2312" w:hAnsi="仿宋_GB2312" w:eastAsia="仿宋_GB2312" w:cs="仿宋_GB2312"/>
          <w:b w:val="0"/>
          <w:bCs w:val="0"/>
          <w:w w:val="100"/>
          <w:sz w:val="32"/>
          <w:szCs w:val="32"/>
          <w:lang w:val="en-US" w:eastAsia="zh-CN"/>
        </w:rPr>
        <w:t>督促被审计单位扛起整改主体责任，以钉钉子精神，抓好每个问题的整改。县审计局</w:t>
      </w:r>
      <w:r>
        <w:rPr>
          <w:rStyle w:val="7"/>
          <w:rFonts w:hint="eastAsia" w:ascii="仿宋_GB2312" w:hAnsi="仿宋_GB2312" w:eastAsia="仿宋_GB2312" w:cs="仿宋_GB2312"/>
          <w:kern w:val="0"/>
          <w:sz w:val="32"/>
          <w:szCs w:val="32"/>
          <w:lang w:val="en-US" w:eastAsia="zh-CN"/>
        </w:rPr>
        <w:t>建立审计查出问题整改台账，通过现场督查、“回头看</w:t>
      </w:r>
      <w:r>
        <w:rPr>
          <w:rStyle w:val="7"/>
          <w:rFonts w:hint="default" w:ascii="仿宋_GB2312" w:hAnsi="仿宋_GB2312" w:eastAsia="仿宋_GB2312" w:cs="仿宋_GB2312"/>
          <w:kern w:val="0"/>
          <w:sz w:val="32"/>
          <w:szCs w:val="32"/>
          <w:lang w:val="en-US" w:eastAsia="zh-CN"/>
        </w:rPr>
        <w:t>”</w:t>
      </w:r>
      <w:r>
        <w:rPr>
          <w:rStyle w:val="7"/>
          <w:rFonts w:hint="eastAsia" w:ascii="仿宋_GB2312" w:hAnsi="仿宋_GB2312" w:eastAsia="仿宋_GB2312" w:cs="仿宋_GB2312"/>
          <w:kern w:val="0"/>
          <w:sz w:val="32"/>
          <w:szCs w:val="32"/>
          <w:lang w:val="en-US" w:eastAsia="zh-CN"/>
        </w:rPr>
        <w:t>、发督办函等方式，动态督促，督查指导、审核验收</w:t>
      </w:r>
      <w:r>
        <w:rPr>
          <w:rFonts w:hint="eastAsia" w:ascii="仿宋_GB2312" w:hAnsi="仿宋_GB2312" w:eastAsia="仿宋_GB2312" w:cs="仿宋_GB2312"/>
          <w:b w:val="0"/>
          <w:bCs w:val="0"/>
          <w:w w:val="100"/>
          <w:sz w:val="32"/>
          <w:szCs w:val="32"/>
          <w:lang w:val="en-US" w:eastAsia="zh-CN"/>
        </w:rPr>
        <w:t>，对账销号，</w:t>
      </w:r>
      <w:r>
        <w:rPr>
          <w:rStyle w:val="7"/>
          <w:rFonts w:hint="eastAsia" w:ascii="仿宋_GB2312" w:hAnsi="仿宋_GB2312" w:eastAsia="仿宋_GB2312" w:cs="仿宋_GB2312"/>
          <w:kern w:val="0"/>
          <w:sz w:val="32"/>
          <w:szCs w:val="32"/>
          <w:lang w:val="en-US" w:eastAsia="zh-CN"/>
        </w:rPr>
        <w:t>切实把审计整改成果转化为治理效能</w:t>
      </w:r>
      <w:r>
        <w:rPr>
          <w:rStyle w:val="7"/>
          <w:rFonts w:hint="eastAsia" w:ascii="仿宋_GB2312" w:hAnsi="仿宋_GB2312" w:eastAsia="仿宋_GB2312" w:cs="仿宋_GB2312"/>
          <w:kern w:val="0"/>
          <w:sz w:val="32"/>
          <w:szCs w:val="32"/>
          <w:lang w:eastAsia="zh-CN"/>
        </w:rPr>
        <w:t>。</w:t>
      </w:r>
    </w:p>
    <w:p w14:paraId="713B3596">
      <w:pPr>
        <w:pStyle w:val="2"/>
        <w:rPr>
          <w:rFonts w:hint="eastAsia"/>
          <w:lang w:val="en-US" w:eastAsia="zh-CN"/>
        </w:rPr>
      </w:pPr>
      <w:bookmarkStart w:id="0" w:name="_GoBack"/>
      <w:bookmarkEnd w:id="0"/>
      <w:r>
        <w:rPr>
          <w:rFonts w:hint="eastAsia"/>
          <w:lang w:val="en-US" w:eastAsia="zh-CN"/>
        </w:rPr>
        <w:drawing>
          <wp:inline distT="0" distB="0" distL="114300" distR="114300">
            <wp:extent cx="5267325" cy="8191500"/>
            <wp:effectExtent l="0" t="0" r="9525" b="0"/>
            <wp:docPr id="2" name="图片 2" descr="2023年部门整体绩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年部门整体绩效"/>
                    <pic:cNvPicPr>
                      <a:picLocks noChangeAspect="1"/>
                    </pic:cNvPicPr>
                  </pic:nvPicPr>
                  <pic:blipFill>
                    <a:blip r:embed="rId4"/>
                    <a:stretch>
                      <a:fillRect/>
                    </a:stretch>
                  </pic:blipFill>
                  <pic:spPr>
                    <a:xfrm>
                      <a:off x="0" y="0"/>
                      <a:ext cx="5267325" cy="81915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经典粗宋简">
    <w:altName w:val="宋体"/>
    <w:panose1 w:val="02010609000101010101"/>
    <w:charset w:val="86"/>
    <w:family w:val="modern"/>
    <w:pitch w:val="default"/>
    <w:sig w:usb0="00000000" w:usb1="00000000" w:usb2="0000001E"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A5E28"/>
    <w:multiLevelType w:val="singleLevel"/>
    <w:tmpl w:val="B27A5E28"/>
    <w:lvl w:ilvl="0" w:tentative="0">
      <w:start w:val="1"/>
      <w:numFmt w:val="chineseCounting"/>
      <w:suff w:val="nothing"/>
      <w:lvlText w:val="%1、"/>
      <w:lvlJc w:val="left"/>
      <w:rPr>
        <w:rFonts w:hint="eastAsia"/>
      </w:rPr>
    </w:lvl>
  </w:abstractNum>
  <w:abstractNum w:abstractNumId="1">
    <w:nsid w:val="1EAE9E65"/>
    <w:multiLevelType w:val="singleLevel"/>
    <w:tmpl w:val="1EAE9E65"/>
    <w:lvl w:ilvl="0" w:tentative="0">
      <w:start w:val="2"/>
      <w:numFmt w:val="chineseCounting"/>
      <w:suff w:val="nothing"/>
      <w:lvlText w:val="（%1）"/>
      <w:lvlJc w:val="left"/>
      <w:rPr>
        <w:rFonts w:hint="eastAsia"/>
      </w:rPr>
    </w:lvl>
  </w:abstractNum>
  <w:abstractNum w:abstractNumId="2">
    <w:nsid w:val="7D3C7D2D"/>
    <w:multiLevelType w:val="singleLevel"/>
    <w:tmpl w:val="7D3C7D2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NDUyYzFjNWQ0ZjkzMDY3MTMzYTU0ZmFhMWMwMDYifQ=="/>
  </w:docVars>
  <w:rsids>
    <w:rsidRoot w:val="476965C4"/>
    <w:rsid w:val="4769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0" w:leftChars="0" w:firstLine="0" w:firstLineChars="0"/>
    </w:pPr>
    <w:rPr>
      <w:rFonts w:ascii="Times New Roman" w:hAnsi="Times New Roman"/>
    </w:rPr>
  </w:style>
  <w:style w:type="paragraph" w:styleId="3">
    <w:name w:val="Body Text Indent 2"/>
    <w:basedOn w:val="1"/>
    <w:unhideWhenUsed/>
    <w:qFormat/>
    <w:uiPriority w:val="99"/>
    <w:pPr>
      <w:spacing w:line="480" w:lineRule="auto"/>
      <w:ind w:left="420" w:leftChars="200"/>
    </w:pPr>
  </w:style>
  <w:style w:type="paragraph" w:customStyle="1" w:styleId="6">
    <w:name w:val="p18"/>
    <w:basedOn w:val="1"/>
    <w:qFormat/>
    <w:uiPriority w:val="0"/>
    <w:pPr>
      <w:widowControl/>
      <w:jc w:val="left"/>
    </w:pPr>
    <w:rPr>
      <w:kern w:val="0"/>
      <w:sz w:val="18"/>
      <w:szCs w:val="18"/>
    </w:rPr>
  </w:style>
  <w:style w:type="character" w:customStyle="1" w:styleId="7">
    <w:name w:val="NormalCharacter"/>
    <w:link w:val="8"/>
    <w:qFormat/>
    <w:uiPriority w:val="0"/>
  </w:style>
  <w:style w:type="paragraph" w:customStyle="1" w:styleId="8">
    <w:name w:val="UserStyle_1"/>
    <w:basedOn w:val="1"/>
    <w:link w:val="7"/>
    <w:autoRedefine/>
    <w:qFormat/>
    <w:uiPriority w:val="0"/>
    <w:pPr>
      <w:widowControl/>
      <w:spacing w:after="160" w:line="240" w:lineRule="exact"/>
      <w:jc w:val="left"/>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2024-09-05T02:51:00Z</dcterms:created>
  <dc:creator>苏摩罗宝</dc:creator>
  <cp:lastModifiedBy>苏摩罗宝</cp:lastModifiedBy>
  <dcterms:modified xsi:type="dcterms:W3CDTF">2024-09-05T02:55:11Z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F7ED0C1EC4B1474CB512445B9732ACD9_11</vt:lpwstr>
  </property>
</Properties>
</file>