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8B4D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山河镇</w:t>
      </w:r>
      <w:r>
        <w:rPr>
          <w:rFonts w:hint="eastAsia" w:ascii="方正小标宋简体" w:hAnsi="方正小标宋简体" w:eastAsia="方正小标宋简体" w:cs="方正小标宋简体"/>
          <w:sz w:val="44"/>
          <w:szCs w:val="44"/>
          <w:lang w:val="en-US" w:eastAsia="zh-CN"/>
        </w:rPr>
        <w:t>2024</w:t>
      </w:r>
      <w:bookmarkStart w:id="0" w:name="_GoBack"/>
      <w:bookmarkEnd w:id="0"/>
      <w:r>
        <w:rPr>
          <w:rFonts w:hint="eastAsia" w:ascii="方正小标宋简体" w:hAnsi="方正小标宋简体" w:eastAsia="方正小标宋简体" w:cs="方正小标宋简体"/>
          <w:sz w:val="44"/>
          <w:szCs w:val="44"/>
          <w:lang w:val="en-US" w:eastAsia="zh-CN"/>
        </w:rPr>
        <w:t>年</w:t>
      </w:r>
      <w:r>
        <w:rPr>
          <w:rFonts w:hint="eastAsia" w:ascii="方正小标宋简体" w:hAnsi="方正小标宋简体" w:eastAsia="方正小标宋简体" w:cs="方正小标宋简体"/>
          <w:sz w:val="44"/>
          <w:szCs w:val="44"/>
        </w:rPr>
        <w:t>法治</w:t>
      </w:r>
      <w:r>
        <w:rPr>
          <w:rFonts w:hint="eastAsia" w:ascii="方正小标宋简体" w:hAnsi="方正小标宋简体" w:eastAsia="方正小标宋简体" w:cs="方正小标宋简体"/>
          <w:sz w:val="44"/>
          <w:szCs w:val="44"/>
          <w:lang w:val="en-US" w:eastAsia="zh-CN"/>
        </w:rPr>
        <w:t>政府</w:t>
      </w:r>
      <w:r>
        <w:rPr>
          <w:rFonts w:hint="eastAsia" w:ascii="方正小标宋简体" w:hAnsi="方正小标宋简体" w:eastAsia="方正小标宋简体" w:cs="方正小标宋简体"/>
          <w:sz w:val="44"/>
          <w:szCs w:val="44"/>
        </w:rPr>
        <w:t>建设</w:t>
      </w:r>
      <w:r>
        <w:rPr>
          <w:rFonts w:hint="eastAsia" w:ascii="方正小标宋简体" w:hAnsi="方正小标宋简体" w:eastAsia="方正小标宋简体" w:cs="方正小标宋简体"/>
          <w:sz w:val="44"/>
          <w:szCs w:val="44"/>
          <w:lang w:val="en-US" w:eastAsia="zh-CN"/>
        </w:rPr>
        <w:t>报告</w:t>
      </w:r>
    </w:p>
    <w:p w14:paraId="3D55E7D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ADF0C44">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rPr>
      </w:pPr>
      <w:r>
        <w:rPr>
          <w:rFonts w:hint="eastAsia"/>
        </w:rPr>
        <w:t xml:space="preserve"> </w:t>
      </w:r>
    </w:p>
    <w:p w14:paraId="763277F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在县委的坚强领导下，山河镇坚持以习近平新时代中国特色社会主义思想为指导，深入学习贯彻党的二十大和二十届二中、三中全会精神以及习近平法治思想，全面贯彻落实党中央决策部署和省市县关于法治政府建设的工作要求，不断提升治理体系和治理能力现代化水平，法治政府建设取得积极成效。</w:t>
      </w:r>
    </w:p>
    <w:p w14:paraId="1DCF0D4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Style w:val="7"/>
          <w:rFonts w:hint="eastAsia" w:ascii="黑体" w:hAnsi="黑体" w:eastAsia="黑体" w:cs="黑体"/>
          <w:b w:val="0"/>
          <w:bCs/>
          <w:kern w:val="0"/>
          <w:sz w:val="32"/>
          <w:szCs w:val="32"/>
          <w:lang w:val="en-US" w:eastAsia="zh-CN" w:bidi="ar"/>
        </w:rPr>
      </w:pPr>
      <w:r>
        <w:rPr>
          <w:rStyle w:val="7"/>
          <w:rFonts w:hint="eastAsia" w:ascii="黑体" w:hAnsi="黑体" w:eastAsia="黑体" w:cs="黑体"/>
          <w:b w:val="0"/>
          <w:bCs/>
          <w:kern w:val="0"/>
          <w:sz w:val="32"/>
          <w:szCs w:val="32"/>
          <w:lang w:val="en-US" w:eastAsia="zh-CN" w:bidi="ar"/>
        </w:rPr>
        <w:t>一、主要举措和成效</w:t>
      </w:r>
    </w:p>
    <w:p w14:paraId="0568372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Style w:val="7"/>
          <w:rFonts w:hint="eastAsia" w:ascii="楷体_GB2312" w:hAnsi="楷体_GB2312" w:eastAsia="楷体_GB2312" w:cs="楷体_GB2312"/>
          <w:b/>
          <w:bCs w:val="0"/>
          <w:sz w:val="32"/>
          <w:szCs w:val="32"/>
          <w:lang w:val="en-US" w:eastAsia="zh-CN"/>
        </w:rPr>
        <w:t>（一）</w:t>
      </w:r>
      <w:r>
        <w:rPr>
          <w:rStyle w:val="7"/>
          <w:rFonts w:hint="eastAsia" w:ascii="楷体_GB2312" w:hAnsi="楷体_GB2312" w:eastAsia="楷体_GB2312" w:cs="楷体_GB2312"/>
          <w:b/>
          <w:bCs w:val="0"/>
          <w:sz w:val="32"/>
          <w:szCs w:val="32"/>
        </w:rPr>
        <w:t>加强组织领导，统筹推进法治政府建设。</w:t>
      </w:r>
      <w:r>
        <w:rPr>
          <w:rFonts w:hint="eastAsia" w:ascii="仿宋_GB2312" w:hAnsi="仿宋_GB2312" w:eastAsia="仿宋_GB2312" w:cs="仿宋_GB2312"/>
          <w:kern w:val="2"/>
          <w:sz w:val="32"/>
          <w:szCs w:val="32"/>
          <w:lang w:val="en-US" w:eastAsia="zh-CN" w:bidi="ar-SA"/>
        </w:rPr>
        <w:t>镇党委、镇政府高度重视法治建设工作，围绕法治政府建设工作任务，全面压紧压实党政主要负责人履行推进法治建设第一责任人职责，将法治建设工作纳入全镇发展总体规划和年度工作计划，与经济社会发展同部署、同推进、同督促、同考核。</w:t>
      </w:r>
      <w:r>
        <w:rPr>
          <w:rFonts w:hint="eastAsia" w:ascii="仿宋_GB2312" w:hAnsi="仿宋_GB2312" w:eastAsia="仿宋_GB2312" w:cs="仿宋_GB2312"/>
          <w:b/>
          <w:bCs/>
          <w:kern w:val="2"/>
          <w:sz w:val="32"/>
          <w:szCs w:val="32"/>
          <w:lang w:val="en-US" w:eastAsia="zh-CN" w:bidi="ar-SA"/>
        </w:rPr>
        <w:t>一是不断深入学习宣传贯彻习近平法治思想。</w:t>
      </w:r>
      <w:r>
        <w:rPr>
          <w:rFonts w:hint="eastAsia" w:ascii="仿宋_GB2312" w:hAnsi="仿宋_GB2312" w:eastAsia="仿宋_GB2312" w:cs="仿宋_GB2312"/>
          <w:kern w:val="2"/>
          <w:sz w:val="32"/>
          <w:szCs w:val="32"/>
          <w:lang w:val="en-US" w:eastAsia="zh-CN" w:bidi="ar-SA"/>
        </w:rPr>
        <w:t>坚持将习近平法治思想、宪法法律、党内法规纳入党委（党组）中心组学习和党员干部教育培训内容，定期召开党委理论学习中心组集体学习会，举办习近平法治思想和法治政府建设专题培训班，持续强化领导干部法治思维，提升依法行政能力。共组织学法12余次，各村（社区）组织学习培训62余次，在线学法用法考试实现全覆盖。严格落实“谁执法谁普法”责任制，将普法融入执法全过程，实现法治宣传教育在“视、播、报、端、微、屏”等多领域全覆盖，推动法治观念深入人心。</w:t>
      </w:r>
      <w:r>
        <w:rPr>
          <w:rFonts w:hint="eastAsia" w:ascii="仿宋_GB2312" w:hAnsi="仿宋_GB2312" w:eastAsia="仿宋_GB2312" w:cs="仿宋_GB2312"/>
          <w:b/>
          <w:bCs/>
          <w:kern w:val="2"/>
          <w:sz w:val="32"/>
          <w:szCs w:val="32"/>
          <w:lang w:val="en-US" w:eastAsia="zh-CN" w:bidi="ar-SA"/>
        </w:rPr>
        <w:t>二是建立健全体制机制。</w:t>
      </w:r>
      <w:r>
        <w:rPr>
          <w:rFonts w:hint="eastAsia" w:ascii="仿宋_GB2312" w:hAnsi="仿宋_GB2312" w:eastAsia="仿宋_GB2312" w:cs="仿宋_GB2312"/>
          <w:kern w:val="2"/>
          <w:sz w:val="32"/>
          <w:szCs w:val="32"/>
          <w:lang w:val="en-US" w:eastAsia="zh-CN" w:bidi="ar-SA"/>
        </w:rPr>
        <w:t>镇党委、政府将依法治镇作为一项重要任务列入议事日程，坚持以制度建设为抓手，制定依法治镇工作方案和普法计划，从组织领导、目标任务、责任分解、工作措施、绩效考评等方面进行全面规划。成立由镇党委书记任组长的领导小组，明确职责分工，加强统筹协调，形成全镇上下共同参与法治创建的良好格局。</w:t>
      </w:r>
    </w:p>
    <w:p w14:paraId="162EA0C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仿宋_GB2312" w:hAnsi="仿宋_GB2312" w:eastAsia="仿宋_GB2312" w:cs="仿宋_GB2312"/>
          <w:sz w:val="32"/>
          <w:szCs w:val="32"/>
          <w:lang w:val="en-US" w:eastAsia="zh-CN"/>
        </w:rPr>
      </w:pPr>
      <w:r>
        <w:rPr>
          <w:rStyle w:val="7"/>
          <w:rFonts w:hint="eastAsia" w:ascii="楷体_GB2312" w:hAnsi="楷体_GB2312" w:eastAsia="楷体_GB2312" w:cs="楷体_GB2312"/>
          <w:b/>
          <w:bCs w:val="0"/>
          <w:sz w:val="32"/>
          <w:szCs w:val="32"/>
          <w:lang w:val="en-US" w:eastAsia="zh-CN"/>
        </w:rPr>
        <w:t>（二）优化政府服务，稳步提升政府依法行政效能。</w:t>
      </w:r>
      <w:r>
        <w:rPr>
          <w:rFonts w:hint="eastAsia" w:ascii="仿宋_GB2312" w:hAnsi="仿宋_GB2312" w:eastAsia="仿宋_GB2312" w:cs="仿宋_GB2312"/>
          <w:b/>
          <w:bCs/>
          <w:sz w:val="32"/>
          <w:szCs w:val="32"/>
        </w:rPr>
        <w:t>行政决策规范闭环</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严格执行“公众参与、专家论证、合法性审查”等程序，聘请3名法律顾问对产业项目引进、集体资产处置等“三重一大”事项审查42件，提出修改意见15条，否决不合法决策2件；编制并公开年度重大行政决策目录12项，明确决策标准与流程。</w:t>
      </w:r>
      <w:r>
        <w:rPr>
          <w:rFonts w:hint="eastAsia" w:ascii="仿宋_GB2312" w:hAnsi="仿宋_GB2312" w:eastAsia="仿宋_GB2312" w:cs="仿宋_GB2312"/>
          <w:b/>
          <w:bCs/>
          <w:sz w:val="32"/>
          <w:szCs w:val="32"/>
        </w:rPr>
        <w:t>行政执法严格规范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全面落实行政执法“三项制度”，整合派出所、市场监管所等力量组建联合执法专班，开展食品安全、耕地保护等领域执法32次，查处违法案件1起，下发“两违”停工通知书</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份，整治乱搭乱建8起；执法结果全部录入省执法公示平台，公开率100%；配备执法记录仪2台，</w:t>
      </w:r>
      <w:r>
        <w:rPr>
          <w:rFonts w:hint="eastAsia" w:ascii="仿宋_GB2312" w:hAnsi="仿宋_GB2312" w:eastAsia="仿宋_GB2312" w:cs="仿宋_GB2312"/>
          <w:sz w:val="32"/>
          <w:szCs w:val="32"/>
          <w:lang w:val="en-US" w:eastAsia="zh-CN"/>
        </w:rPr>
        <w:t>办理行政执法案件4件，</w:t>
      </w:r>
      <w:r>
        <w:rPr>
          <w:rFonts w:hint="eastAsia" w:ascii="仿宋_GB2312" w:hAnsi="仿宋_GB2312" w:eastAsia="仿宋_GB2312" w:cs="仿宋_GB2312"/>
          <w:sz w:val="32"/>
          <w:szCs w:val="32"/>
        </w:rPr>
        <w:t>实现执法过程全程留痕。</w:t>
      </w:r>
      <w:r>
        <w:rPr>
          <w:rFonts w:hint="eastAsia" w:ascii="仿宋_GB2312" w:hAnsi="仿宋_GB2312" w:eastAsia="仿宋_GB2312" w:cs="仿宋_GB2312"/>
          <w:sz w:val="32"/>
          <w:szCs w:val="32"/>
          <w:lang w:val="en-US" w:eastAsia="zh-CN"/>
        </w:rPr>
        <w:t>认真做好</w:t>
      </w:r>
      <w:r>
        <w:rPr>
          <w:rFonts w:hint="eastAsia" w:ascii="仿宋_GB2312" w:hAnsi="仿宋_GB2312" w:eastAsia="仿宋_GB2312" w:cs="仿宋_GB2312"/>
          <w:sz w:val="32"/>
          <w:szCs w:val="32"/>
        </w:rPr>
        <w:t>行政执法证件申领换发工作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申领</w:t>
      </w:r>
      <w:r>
        <w:rPr>
          <w:rFonts w:hint="eastAsia" w:ascii="仿宋_GB2312" w:hAnsi="仿宋_GB2312" w:eastAsia="仿宋_GB2312" w:cs="仿宋_GB2312"/>
          <w:sz w:val="32"/>
          <w:szCs w:val="32"/>
        </w:rPr>
        <w:t>行政执法证件</w:t>
      </w:r>
      <w:r>
        <w:rPr>
          <w:rFonts w:hint="eastAsia" w:ascii="仿宋_GB2312" w:hAnsi="仿宋_GB2312" w:eastAsia="仿宋_GB2312" w:cs="仿宋_GB2312"/>
          <w:sz w:val="32"/>
          <w:szCs w:val="32"/>
          <w:lang w:val="en-US" w:eastAsia="zh-CN"/>
        </w:rPr>
        <w:t>30人，注销5人，组织开展执法人员培训5场次。</w:t>
      </w:r>
      <w:r>
        <w:rPr>
          <w:rFonts w:hint="eastAsia" w:ascii="仿宋_GB2312" w:hAnsi="仿宋_GB2312" w:eastAsia="仿宋_GB2312" w:cs="仿宋_GB2312"/>
          <w:b/>
          <w:bCs/>
          <w:sz w:val="32"/>
          <w:szCs w:val="32"/>
          <w:lang w:val="en-US" w:eastAsia="zh-CN"/>
        </w:rPr>
        <w:t>履职事项清单梳理清晰，</w:t>
      </w:r>
      <w:r>
        <w:rPr>
          <w:rFonts w:hint="eastAsia" w:ascii="仿宋_GB2312" w:hAnsi="仿宋_GB2312" w:eastAsia="仿宋_GB2312" w:cs="仿宋_GB2312"/>
          <w:sz w:val="32"/>
          <w:szCs w:val="32"/>
          <w:lang w:val="en-US" w:eastAsia="zh-CN"/>
        </w:rPr>
        <w:t>紧扣“事权清晰、责能相适、保障有力”的要求，通过梳理法律法规、文件通知、述法报告、会议记录和调查文件等资料，采取“三联动三全面”的方式，梳理上交行政许可事项10项，行政执法事项197项。</w:t>
      </w:r>
    </w:p>
    <w:p w14:paraId="16FE8C4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Style w:val="7"/>
          <w:rFonts w:hint="eastAsia" w:ascii="楷体_GB2312" w:hAnsi="楷体_GB2312" w:eastAsia="楷体_GB2312" w:cs="楷体_GB2312"/>
          <w:bCs w:val="0"/>
          <w:kern w:val="0"/>
          <w:sz w:val="32"/>
          <w:szCs w:val="32"/>
          <w:lang w:val="en-US" w:eastAsia="zh-CN" w:bidi="ar"/>
        </w:rPr>
        <w:t>（三）依法化解矛盾纠纷，维护社会和谐稳定。</w:t>
      </w:r>
      <w:r>
        <w:rPr>
          <w:rFonts w:hint="eastAsia" w:ascii="仿宋_GB2312" w:hAnsi="仿宋_GB2312" w:eastAsia="仿宋_GB2312" w:cs="仿宋_GB2312"/>
          <w:b/>
          <w:bCs/>
          <w:sz w:val="32"/>
          <w:szCs w:val="32"/>
        </w:rPr>
        <w:t>法治宣传全域覆盖</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聚焦“法律十进”，结合“3·15”“12·4”等节点开展《反有组织犯罪法》、防电诈等宣传活动32场次，发放资料1.2万余份，覆盖群众3.5万人次；培育“法律明白人”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0名、“学法用法示范户”11户，在8个村（社区）打造法治文化广场、宣传栏，利用村级大喇叭每日播报法治常识。</w:t>
      </w:r>
      <w:r>
        <w:rPr>
          <w:rFonts w:hint="eastAsia" w:ascii="仿宋_GB2312" w:hAnsi="仿宋_GB2312" w:eastAsia="仿宋_GB2312" w:cs="仿宋_GB2312"/>
          <w:b/>
          <w:bCs/>
          <w:sz w:val="32"/>
          <w:szCs w:val="32"/>
        </w:rPr>
        <w:t>基层治理法治赋能</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全镇</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个村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4个</w:t>
      </w:r>
      <w:r>
        <w:rPr>
          <w:rFonts w:hint="eastAsia" w:ascii="仿宋_GB2312" w:hAnsi="仿宋_GB2312" w:eastAsia="仿宋_GB2312" w:cs="仿宋_GB2312"/>
          <w:sz w:val="32"/>
          <w:szCs w:val="32"/>
        </w:rPr>
        <w:t>社区均建成“一站式”法治服务站，配备专职人民调解员18名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网格员38名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坚持和发展新时代的枫桥经验，建立健全矛盾纠纷多元化解机制，充分发挥人民调解、行政调解、司法调解的作用，加强矛盾纠纷排查化解工作，做到早发现、早化解、早处置，把矛盾纠纷化解在基层、消除在萌芽状态。加强信访工作，弘扬“四下基层”优良传统，认真落实领导干部接访制度和应诉挂钩解决制度，及时解决群众反映的问题，维护了社会大局和谐稳定。持续关注矛盾聚集领域和重点人群，拉网式排查项目建设、征地拆迁、婚恋邻里纠纷等领域风险隐患，全年共调解各类矛盾纠纷837件，调解成功率98%。深入</w:t>
      </w:r>
      <w:r>
        <w:rPr>
          <w:rFonts w:hint="eastAsia" w:ascii="仿宋_GB2312" w:hAnsi="仿宋_GB2312" w:eastAsia="仿宋_GB2312" w:cs="仿宋_GB2312"/>
          <w:sz w:val="32"/>
          <w:szCs w:val="32"/>
        </w:rPr>
        <w:t>推进“党建+数字乡村”治理，在冯柳村布设监控点位14个，划分数字网格8个，提升隐患排查与应急响应效率；创建省级“民主法治示范村”1个、市级3个，创建覆盖率100%。</w:t>
      </w:r>
      <w:r>
        <w:rPr>
          <w:rFonts w:hint="eastAsia" w:ascii="仿宋_GB2312" w:hAnsi="仿宋_GB2312" w:eastAsia="仿宋_GB2312" w:cs="仿宋_GB2312"/>
          <w:b/>
          <w:bCs/>
          <w:sz w:val="32"/>
          <w:szCs w:val="32"/>
        </w:rPr>
        <w:t>重点群体精准服务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为60岁以上老人开展防诈骗讲座12场，帮助追回被骗资金8万余元；为农民工提供维权咨询32人次，解决欠薪问题4起，追回工资15万元；选配10名法治副校长进驻中小学，开展“法治进校园”20场次，设立“护学岗”22个，教育劝导“五小车辆”载人等违规行为116起。</w:t>
      </w:r>
      <w:r>
        <w:rPr>
          <w:rFonts w:hint="eastAsia" w:ascii="仿宋_GB2312" w:hAnsi="仿宋_GB2312" w:eastAsia="仿宋_GB2312" w:cs="仿宋_GB2312"/>
          <w:b/>
          <w:bCs/>
          <w:sz w:val="32"/>
          <w:szCs w:val="32"/>
        </w:rPr>
        <w:t>重点人员</w:t>
      </w:r>
      <w:r>
        <w:rPr>
          <w:rFonts w:hint="eastAsia" w:ascii="仿宋_GB2312" w:hAnsi="仿宋_GB2312" w:eastAsia="仿宋_GB2312" w:cs="仿宋_GB2312"/>
          <w:b/>
          <w:bCs/>
          <w:sz w:val="32"/>
          <w:szCs w:val="32"/>
          <w:lang w:val="en-US" w:eastAsia="zh-CN"/>
        </w:rPr>
        <w:t>强化管控</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将重点人员管控作为平安建设的重中之重建立“三级包抓”责任体系，由包村领导统筹协调、村干部具体落实、网格员日常跟踪，形成层层负责的工作体系。按照“不漏一人、不留死角”的原则，组织镇村干部、网格员、民警等力量，采取“入户走访+数据比对+群众反映”相结合的方式，对辖区内172</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rPr>
        <w:t>刑满释放人员、</w:t>
      </w:r>
      <w:r>
        <w:rPr>
          <w:rFonts w:hint="eastAsia" w:ascii="仿宋_GB2312" w:hAnsi="仿宋_GB2312" w:eastAsia="仿宋_GB2312" w:cs="仿宋_GB2312"/>
          <w:sz w:val="32"/>
          <w:szCs w:val="32"/>
          <w:lang w:eastAsia="zh-CN"/>
        </w:rPr>
        <w:t>28</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rPr>
        <w:t>社区矫正对象</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吸毒人员、严重精神障碍患者、涉访涉稳人员等重点群体进行全覆盖摸排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全镇共摸排重点人员</w:t>
      </w:r>
      <w:r>
        <w:rPr>
          <w:rFonts w:hint="eastAsia" w:ascii="仿宋_GB2312" w:hAnsi="仿宋_GB2312" w:eastAsia="仿宋_GB2312" w:cs="仿宋_GB2312"/>
          <w:sz w:val="32"/>
          <w:szCs w:val="32"/>
          <w:lang w:val="en-US" w:eastAsia="zh-CN"/>
        </w:rPr>
        <w:t>235</w:t>
      </w:r>
      <w:r>
        <w:rPr>
          <w:rFonts w:hint="eastAsia" w:ascii="仿宋_GB2312" w:hAnsi="仿宋_GB2312" w:eastAsia="仿宋_GB2312" w:cs="仿宋_GB2312"/>
          <w:sz w:val="32"/>
          <w:szCs w:val="32"/>
        </w:rPr>
        <w:t>名，分类落实管控措施，确保风险可控。</w:t>
      </w:r>
    </w:p>
    <w:p w14:paraId="30208C3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二、存在的不足</w:t>
      </w:r>
    </w:p>
    <w:p w14:paraId="70ABEC4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 </w:t>
      </w:r>
      <w:r>
        <w:rPr>
          <w:rFonts w:hint="eastAsia" w:ascii="楷体_GB2312" w:hAnsi="楷体_GB2312" w:eastAsia="楷体_GB2312" w:cs="楷体_GB2312"/>
          <w:b/>
          <w:bCs/>
          <w:sz w:val="32"/>
          <w:szCs w:val="32"/>
          <w:lang w:val="en-US" w:eastAsia="zh-CN"/>
        </w:rPr>
        <w:t>一是</w:t>
      </w:r>
      <w:r>
        <w:rPr>
          <w:rFonts w:hint="eastAsia" w:ascii="楷体_GB2312" w:hAnsi="楷体_GB2312" w:eastAsia="楷体_GB2312" w:cs="楷体_GB2312"/>
          <w:b/>
          <w:bCs/>
          <w:sz w:val="32"/>
          <w:szCs w:val="32"/>
        </w:rPr>
        <w:t>习近平法治思想学习深度不足</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虽将其纳入中心组学习，但学习方式仍以“读文件、听报告”为主，结合镇域实际的案例解读、实践研讨较少；部分村（社区）宣传形式单一，“法治大宣讲”团队下沉频次不足，群众对习近平法治思想的理解仍停留在表面。</w:t>
      </w:r>
    </w:p>
    <w:p w14:paraId="403A8DE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二是</w:t>
      </w:r>
      <w:r>
        <w:rPr>
          <w:rFonts w:hint="eastAsia" w:ascii="楷体_GB2312" w:hAnsi="楷体_GB2312" w:eastAsia="楷体_GB2312" w:cs="楷体_GB2312"/>
          <w:b/>
          <w:bCs/>
          <w:sz w:val="32"/>
          <w:szCs w:val="32"/>
        </w:rPr>
        <w:t>基层法治力量仍有短板</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镇司法所现有工作人员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人具备法律职业资格，难以满足复杂纠纷调解、行政决策审查需求；</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村“法律明白人”参与矛盾化解、法治宣传的频次不足，业务能力需提升。</w:t>
      </w:r>
    </w:p>
    <w:p w14:paraId="272BD0D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三是</w:t>
      </w:r>
      <w:r>
        <w:rPr>
          <w:rFonts w:hint="eastAsia" w:ascii="楷体_GB2312" w:hAnsi="楷体_GB2312" w:eastAsia="楷体_GB2312" w:cs="楷体_GB2312"/>
          <w:b/>
          <w:bCs/>
          <w:sz w:val="32"/>
          <w:szCs w:val="32"/>
        </w:rPr>
        <w:t>法治宣传精准度欠缺</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针对种养殖户、小微企业主等群体的“行业法律指南”较少；短视频、法治情景剧等群众喜闻乐见的宣传形式占比不足30%，部分老年群众、偏远村群众参与度较低；中小学“礼敬宪法”等环节在个别学校落实有偏差。</w:t>
      </w:r>
    </w:p>
    <w:p w14:paraId="0565417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四是矛盾纠纷化解协同不足。</w:t>
      </w:r>
      <w:r>
        <w:rPr>
          <w:rFonts w:hint="eastAsia" w:ascii="仿宋_GB2312" w:hAnsi="仿宋_GB2312" w:eastAsia="仿宋_GB2312" w:cs="仿宋_GB2312"/>
          <w:sz w:val="32"/>
          <w:szCs w:val="32"/>
        </w:rPr>
        <w:t>村（社区）法治服务站与派出所、司法所联动机制不健全，导致</w:t>
      </w:r>
      <w:r>
        <w:rPr>
          <w:rFonts w:hint="eastAsia" w:ascii="仿宋_GB2312" w:hAnsi="仿宋_GB2312" w:eastAsia="仿宋_GB2312" w:cs="仿宋_GB2312"/>
          <w:sz w:val="32"/>
          <w:szCs w:val="32"/>
          <w:lang w:val="en-US" w:eastAsia="zh-CN"/>
        </w:rPr>
        <w:t>部分信访矛盾纠纷</w:t>
      </w:r>
      <w:r>
        <w:rPr>
          <w:rFonts w:hint="eastAsia" w:ascii="仿宋_GB2312" w:hAnsi="仿宋_GB2312" w:eastAsia="仿宋_GB2312" w:cs="仿宋_GB2312"/>
          <w:sz w:val="32"/>
          <w:szCs w:val="32"/>
        </w:rPr>
        <w:t>化解周期延长；个别调解员调解记录不规范，存在签字潦草、内容不全等问题，影响调解质效；“三调联动”（行政、人民、司法调解）未完全形成合力，部分纠纷流入诉讼渠道。</w:t>
      </w:r>
    </w:p>
    <w:p w14:paraId="4455D1B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三、下一步工作计划</w:t>
      </w:r>
    </w:p>
    <w:p w14:paraId="69C8078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我镇将继续深入学习贯彻法治思想，全面贯彻落实中央和省市县委法治建设有关会议要求，按照“八五”普法要求继续深入学习，全面抓好依法治镇各项重点工作。</w:t>
      </w:r>
    </w:p>
    <w:p w14:paraId="0D2F17E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（一）进一步提高依法行政意识。</w:t>
      </w:r>
      <w:r>
        <w:rPr>
          <w:rFonts w:hint="eastAsia" w:ascii="仿宋_GB2312" w:hAnsi="仿宋_GB2312" w:eastAsia="仿宋_GB2312" w:cs="仿宋_GB2312"/>
          <w:kern w:val="2"/>
          <w:sz w:val="32"/>
          <w:szCs w:val="32"/>
          <w:lang w:val="en-US" w:eastAsia="zh-CN" w:bidi="ar-SA"/>
        </w:rPr>
        <w:t>加强对干部的法治教育培训，深入学习贯彻习近平法治思想，提高干部对依法行政重要性的认识，增强法治观念和依法行政意识。建立健全依法行政考核机制，将依法行政工作纳入干部考核的重要内容，激励干部自觉依法行政。</w:t>
      </w:r>
    </w:p>
    <w:p w14:paraId="15C83AC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（二）进一步提升行政执法水平。</w:t>
      </w:r>
      <w:r>
        <w:rPr>
          <w:rFonts w:hint="eastAsia" w:ascii="仿宋_GB2312" w:hAnsi="仿宋_GB2312" w:eastAsia="仿宋_GB2312" w:cs="仿宋_GB2312"/>
          <w:kern w:val="2"/>
          <w:sz w:val="32"/>
          <w:szCs w:val="32"/>
          <w:lang w:val="en-US" w:eastAsia="zh-CN" w:bidi="ar-SA"/>
        </w:rPr>
        <w:t>加强行政执法队伍建设，加大对行政执法人员的培训力度，提高执法人员的法律素养和业务能力。规范行政执法程序，严格执行行政执法“三项制度”，加强对行政执法的监督检查，及时纠正违法或不当的执法行为，不断提升行政执法水平和执法公信力。</w:t>
      </w:r>
    </w:p>
    <w:p w14:paraId="74AD105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（三）进一步增强法治宣传教育的针对性和实效性。</w:t>
      </w:r>
      <w:r>
        <w:rPr>
          <w:rFonts w:hint="eastAsia" w:ascii="仿宋_GB2312" w:hAnsi="仿宋_GB2312" w:eastAsia="仿宋_GB2312" w:cs="仿宋_GB2312"/>
          <w:kern w:val="2"/>
          <w:sz w:val="32"/>
          <w:szCs w:val="32"/>
          <w:lang w:val="en-US" w:eastAsia="zh-CN" w:bidi="ar-SA"/>
        </w:rPr>
        <w:t>创新法治宣传教育的方式方法，充分利用新媒体、新技术，开展形式多样、内容丰富的法治宣传教育活动。根据不同群体的法治需求，制定个性化的法治宣传教育方案，提高法治宣传教育的针对性和实效性。加强法治文化建设，营造浓厚的法治氛围。</w:t>
      </w:r>
    </w:p>
    <w:p w14:paraId="09624FA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（四）进一步加强法治政府建设的组织领导。</w:t>
      </w:r>
      <w:r>
        <w:rPr>
          <w:rFonts w:hint="eastAsia" w:ascii="仿宋_GB2312" w:hAnsi="仿宋_GB2312" w:eastAsia="仿宋_GB2312" w:cs="仿宋_GB2312"/>
          <w:kern w:val="2"/>
          <w:sz w:val="32"/>
          <w:szCs w:val="32"/>
          <w:lang w:val="en-US" w:eastAsia="zh-CN" w:bidi="ar-SA"/>
        </w:rPr>
        <w:t>充分发挥法治政府建设工作领导小组的作用，加强对法治政府建设工作的统筹协调和指导监督。各部门要密切配合，形成工作合力，共同推进法治政府建设工作。加强对法治政府建设工作的经费保障和人员配备，为法治政府建设工作提供有力支持。</w:t>
      </w:r>
    </w:p>
    <w:sectPr>
      <w:footerReference r:id="rId3" w:type="default"/>
      <w:pgSz w:w="11906" w:h="16838"/>
      <w:pgMar w:top="1701"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BA40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A8BD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9A8BD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75318"/>
    <w:rsid w:val="1BD75318"/>
    <w:rsid w:val="1FA45268"/>
    <w:rsid w:val="253357DF"/>
    <w:rsid w:val="27D67843"/>
    <w:rsid w:val="34D67F04"/>
    <w:rsid w:val="3751103F"/>
    <w:rsid w:val="3F221A4C"/>
    <w:rsid w:val="3FA949BB"/>
    <w:rsid w:val="46FF32EA"/>
    <w:rsid w:val="48C81E5C"/>
    <w:rsid w:val="591954D8"/>
    <w:rsid w:val="59416DE9"/>
    <w:rsid w:val="5B4E2BBB"/>
    <w:rsid w:val="5F414EEF"/>
    <w:rsid w:val="65652A5B"/>
    <w:rsid w:val="6AC63F9C"/>
    <w:rsid w:val="74A470FC"/>
    <w:rsid w:val="74DE3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3010</Words>
  <Characters>3067</Characters>
  <Lines>0</Lines>
  <Paragraphs>0</Paragraphs>
  <TotalTime>21</TotalTime>
  <ScaleCrop>false</ScaleCrop>
  <LinksUpToDate>false</LinksUpToDate>
  <CharactersWithSpaces>3069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2025-08-21T09:41:00Z</dcterms:created>
  <dc:creator>lx</dc:creator>
  <cp:lastModifiedBy>lx</cp:lastModifiedBy>
  <dcterms:modified xsi:type="dcterms:W3CDTF">2025-10-16T02:04:34Z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36E2B48BD0AC415AB9AB8B4D3B63A56F_13</vt:lpwstr>
  </property>
  <property fmtid="{D5CDD505-2E9C-101B-9397-08002B2CF9AE}" pid="4" name="KSOTemplateDocerSaveRecord">
    <vt:lpwstr>eyJoZGlkIjoiZmM5YmRiODRjN2IwYmEzZDRmMDI1MzYyYjM5YjVkOTUifQ==</vt:lpwstr>
  </property>
</Properties>
</file>