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445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pPr>
      <w:bookmarkStart w:id="0" w:name="_GoBack"/>
      <w:r>
        <w:rPr>
          <w:rFonts w:hint="eastAsia"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t xml:space="preserve">庆阳市生态环境局正宁分局 </w:t>
      </w:r>
    </w:p>
    <w:p w14:paraId="3F988C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方正小标宋简体" w:cs="方正小标宋简体"/>
          <w:b w:val="0"/>
          <w:bCs w:val="0"/>
          <w:i w:val="0"/>
          <w:iCs w:val="0"/>
          <w:caps w:val="0"/>
          <w:color w:val="333333"/>
          <w:spacing w:val="0"/>
          <w:sz w:val="44"/>
          <w:szCs w:val="44"/>
          <w:shd w:val="clear" w:color="auto" w:fill="FFFFFF"/>
        </w:rPr>
      </w:pPr>
      <w:r>
        <w:rPr>
          <w:rFonts w:hint="default" w:ascii="Times New Roman" w:hAnsi="Times New Roman" w:eastAsia="方正小标宋简体" w:cs="方正小标宋简体"/>
          <w:b w:val="0"/>
          <w:bCs w:val="0"/>
          <w:i w:val="0"/>
          <w:iCs w:val="0"/>
          <w:caps w:val="0"/>
          <w:color w:val="333333"/>
          <w:spacing w:val="0"/>
          <w:sz w:val="44"/>
          <w:szCs w:val="44"/>
          <w:shd w:val="clear" w:color="auto" w:fill="FFFFFF"/>
        </w:rPr>
        <w:t>202</w:t>
      </w:r>
      <w:r>
        <w:rPr>
          <w:rFonts w:hint="eastAsia"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t>5</w:t>
      </w:r>
      <w:r>
        <w:rPr>
          <w:rFonts w:hint="default" w:ascii="Times New Roman" w:hAnsi="Times New Roman" w:eastAsia="方正小标宋简体" w:cs="方正小标宋简体"/>
          <w:b w:val="0"/>
          <w:bCs w:val="0"/>
          <w:i w:val="0"/>
          <w:iCs w:val="0"/>
          <w:caps w:val="0"/>
          <w:color w:val="333333"/>
          <w:spacing w:val="0"/>
          <w:sz w:val="44"/>
          <w:szCs w:val="44"/>
          <w:shd w:val="clear" w:color="auto" w:fill="FFFFFF"/>
        </w:rPr>
        <w:t>年政府信息公开工作年度报告</w:t>
      </w:r>
    </w:p>
    <w:bookmarkEnd w:id="0"/>
    <w:p w14:paraId="4EA979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p>
    <w:p w14:paraId="7FE034EF">
      <w:pPr>
        <w:keepNext w:val="0"/>
        <w:keepLines w:val="0"/>
        <w:pageBreakBefore w:val="0"/>
        <w:kinsoku/>
        <w:wordWrap/>
        <w:overflowPunct/>
        <w:topLinePunct w:val="0"/>
        <w:autoSpaceDE/>
        <w:autoSpaceDN/>
        <w:bidi w:val="0"/>
        <w:adjustRightInd/>
        <w:snapToGrid/>
        <w:spacing w:line="560" w:lineRule="exact"/>
        <w:ind w:firstLine="540" w:firstLineChars="200"/>
        <w:rPr>
          <w:rFonts w:hint="eastAsia" w:ascii="仿宋_GB2312" w:hAnsi="仿宋_GB2312" w:eastAsia="仿宋_GB2312" w:cs="仿宋_GB2312"/>
          <w:color w:val="333333"/>
          <w:spacing w:val="0"/>
          <w:sz w:val="32"/>
          <w:szCs w:val="32"/>
          <w:lang w:val="en-US" w:eastAsia="zh-CN"/>
        </w:rPr>
      </w:pPr>
      <w:r>
        <w:rPr>
          <w:rFonts w:hint="eastAsia" w:ascii="黑体" w:hAnsi="宋体" w:eastAsia="黑体" w:cs="黑体"/>
          <w:color w:val="505050"/>
          <w:spacing w:val="0"/>
          <w:sz w:val="27"/>
          <w:szCs w:val="27"/>
          <w:lang w:val="en-US" w:eastAsia="zh-CN"/>
        </w:rPr>
        <w:t xml:space="preserve"> </w:t>
      </w:r>
      <w:r>
        <w:rPr>
          <w:rFonts w:hint="eastAsia" w:ascii="Times New Roman" w:hAnsi="Times New Roman" w:eastAsia="仿宋_GB2312" w:cs="Times New Roman"/>
          <w:color w:val="auto"/>
          <w:kern w:val="2"/>
          <w:sz w:val="32"/>
          <w:szCs w:val="32"/>
          <w:highlight w:val="none"/>
          <w:lang w:val="en-US" w:eastAsia="zh-CN" w:bidi="ar-SA"/>
        </w:rPr>
        <w:t>根据《中华人民共和国政府信息公开条例》（以下简称《条例》）和《中华人民共和国政府信息公开工作年度报告格式》（国办公开办函〔2021〕30号）要求编制本报告。报告内容包括总体情况、主动公开政府信息情况、收到和处理政府信息公开申请情况、政府信息公开行政复议行政诉讼情况、存在的主要问题及改进情况、其他需要报告的事项六个部分。报告所列数据统计期限为</w:t>
      </w:r>
      <w:r>
        <w:rPr>
          <w:rFonts w:hint="default" w:ascii="Times New Roman" w:hAnsi="Times New Roman" w:eastAsia="仿宋_GB2312" w:cs="Times New Roman"/>
          <w:color w:val="auto"/>
          <w:kern w:val="2"/>
          <w:sz w:val="32"/>
          <w:szCs w:val="32"/>
          <w:highlight w:val="none"/>
          <w:lang w:val="en-US" w:eastAsia="zh-CN" w:bidi="ar-SA"/>
        </w:rPr>
        <w:t>202</w:t>
      </w:r>
      <w:r>
        <w:rPr>
          <w:rFonts w:hint="eastAsia" w:ascii="Times New Roman" w:hAnsi="Times New Roman" w:eastAsia="仿宋_GB2312" w:cs="Times New Roman"/>
          <w:color w:val="auto"/>
          <w:kern w:val="2"/>
          <w:sz w:val="32"/>
          <w:szCs w:val="32"/>
          <w:highlight w:val="none"/>
          <w:lang w:val="en-US" w:eastAsia="zh-CN" w:bidi="ar-SA"/>
        </w:rPr>
        <w:t>5年</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日至</w:t>
      </w:r>
      <w:r>
        <w:rPr>
          <w:rFonts w:hint="default" w:ascii="Times New Roman" w:hAnsi="Times New Roman" w:eastAsia="仿宋_GB2312" w:cs="Times New Roman"/>
          <w:color w:val="auto"/>
          <w:kern w:val="2"/>
          <w:sz w:val="32"/>
          <w:szCs w:val="32"/>
          <w:highlight w:val="none"/>
          <w:lang w:val="en-US" w:eastAsia="zh-CN" w:bidi="ar-SA"/>
        </w:rPr>
        <w:t>12</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31</w:t>
      </w:r>
      <w:r>
        <w:rPr>
          <w:rFonts w:hint="eastAsia" w:ascii="Times New Roman" w:hAnsi="Times New Roman" w:eastAsia="仿宋_GB2312" w:cs="Times New Roman"/>
          <w:color w:val="auto"/>
          <w:kern w:val="2"/>
          <w:sz w:val="32"/>
          <w:szCs w:val="32"/>
          <w:highlight w:val="none"/>
          <w:lang w:val="en-US" w:eastAsia="zh-CN" w:bidi="ar-SA"/>
        </w:rPr>
        <w:t>日。</w:t>
      </w:r>
    </w:p>
    <w:p w14:paraId="1D6237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一、总体情况</w:t>
      </w:r>
    </w:p>
    <w:p w14:paraId="2DA4F33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333333"/>
          <w:spacing w:val="0"/>
          <w:sz w:val="32"/>
          <w:szCs w:val="32"/>
        </w:rPr>
      </w:pPr>
      <w:r>
        <w:rPr>
          <w:rFonts w:hint="eastAsia" w:ascii="仿宋_GB2312" w:hAnsi="仿宋_GB2312" w:eastAsia="仿宋_GB2312" w:cs="仿宋_GB2312"/>
          <w:color w:val="333333"/>
          <w:spacing w:val="0"/>
          <w:sz w:val="32"/>
          <w:szCs w:val="32"/>
        </w:rPr>
        <w:t>202</w:t>
      </w:r>
      <w:r>
        <w:rPr>
          <w:rFonts w:hint="eastAsia" w:ascii="仿宋_GB2312" w:hAnsi="仿宋_GB2312" w:eastAsia="仿宋_GB2312" w:cs="仿宋_GB2312"/>
          <w:color w:val="333333"/>
          <w:spacing w:val="0"/>
          <w:sz w:val="32"/>
          <w:szCs w:val="32"/>
          <w:lang w:val="en-US" w:eastAsia="zh-CN"/>
        </w:rPr>
        <w:t>5</w:t>
      </w:r>
      <w:r>
        <w:rPr>
          <w:rFonts w:hint="eastAsia" w:ascii="仿宋_GB2312" w:hAnsi="仿宋_GB2312" w:eastAsia="仿宋_GB2312" w:cs="仿宋_GB2312"/>
          <w:color w:val="333333"/>
          <w:spacing w:val="0"/>
          <w:sz w:val="32"/>
          <w:szCs w:val="32"/>
        </w:rPr>
        <w:t>年，在</w:t>
      </w:r>
      <w:r>
        <w:rPr>
          <w:rFonts w:hint="eastAsia" w:ascii="仿宋_GB2312" w:hAnsi="仿宋_GB2312" w:eastAsia="仿宋_GB2312" w:cs="仿宋_GB2312"/>
          <w:color w:val="333333"/>
          <w:spacing w:val="0"/>
          <w:sz w:val="32"/>
          <w:szCs w:val="32"/>
          <w:lang w:val="en-US" w:eastAsia="zh-CN"/>
        </w:rPr>
        <w:t>市生态环境局</w:t>
      </w:r>
      <w:r>
        <w:rPr>
          <w:rFonts w:hint="eastAsia" w:ascii="仿宋_GB2312" w:hAnsi="仿宋_GB2312" w:eastAsia="仿宋_GB2312" w:cs="仿宋_GB2312"/>
          <w:color w:val="333333"/>
          <w:spacing w:val="0"/>
          <w:sz w:val="32"/>
          <w:szCs w:val="32"/>
        </w:rPr>
        <w:t>的正确领导</w:t>
      </w:r>
      <w:r>
        <w:rPr>
          <w:rFonts w:hint="eastAsia" w:ascii="仿宋_GB2312" w:hAnsi="仿宋_GB2312" w:eastAsia="仿宋_GB2312" w:cs="仿宋_GB2312"/>
          <w:color w:val="333333"/>
          <w:spacing w:val="0"/>
          <w:sz w:val="32"/>
          <w:szCs w:val="32"/>
          <w:lang w:val="en-US" w:eastAsia="zh-CN"/>
        </w:rPr>
        <w:t>和县委、县政府的大力支持下</w:t>
      </w:r>
      <w:r>
        <w:rPr>
          <w:rFonts w:hint="eastAsia" w:ascii="仿宋_GB2312" w:hAnsi="仿宋_GB2312" w:eastAsia="仿宋_GB2312" w:cs="仿宋_GB2312"/>
          <w:color w:val="333333"/>
          <w:spacing w:val="0"/>
          <w:sz w:val="32"/>
          <w:szCs w:val="32"/>
        </w:rPr>
        <w:t>，</w:t>
      </w:r>
      <w:r>
        <w:rPr>
          <w:rFonts w:hint="eastAsia" w:ascii="仿宋_GB2312" w:hAnsi="仿宋_GB2312" w:eastAsia="仿宋_GB2312" w:cs="仿宋_GB2312"/>
          <w:color w:val="333333"/>
          <w:spacing w:val="0"/>
          <w:sz w:val="32"/>
          <w:szCs w:val="32"/>
          <w:lang w:val="en-US" w:eastAsia="zh-CN"/>
        </w:rPr>
        <w:t>庆阳市</w:t>
      </w:r>
      <w:r>
        <w:rPr>
          <w:rFonts w:hint="eastAsia" w:ascii="仿宋_GB2312" w:hAnsi="仿宋_GB2312" w:eastAsia="仿宋_GB2312" w:cs="仿宋_GB2312"/>
          <w:color w:val="333333"/>
          <w:spacing w:val="0"/>
          <w:sz w:val="32"/>
          <w:szCs w:val="32"/>
        </w:rPr>
        <w:t>生态环境</w:t>
      </w:r>
      <w:r>
        <w:rPr>
          <w:rFonts w:hint="eastAsia" w:ascii="仿宋_GB2312" w:hAnsi="仿宋_GB2312" w:eastAsia="仿宋_GB2312" w:cs="仿宋_GB2312"/>
          <w:color w:val="333333"/>
          <w:spacing w:val="0"/>
          <w:sz w:val="32"/>
          <w:szCs w:val="32"/>
          <w:lang w:val="en-US" w:eastAsia="zh-CN"/>
        </w:rPr>
        <w:t>正宁</w:t>
      </w:r>
      <w:r>
        <w:rPr>
          <w:rFonts w:hint="eastAsia" w:ascii="仿宋_GB2312" w:hAnsi="仿宋_GB2312" w:eastAsia="仿宋_GB2312" w:cs="仿宋_GB2312"/>
          <w:color w:val="333333"/>
          <w:spacing w:val="0"/>
          <w:sz w:val="32"/>
          <w:szCs w:val="32"/>
        </w:rPr>
        <w:t>分局高度重视政府信息公开工作，认真贯彻落实</w:t>
      </w:r>
      <w:r>
        <w:rPr>
          <w:rFonts w:hint="eastAsia" w:ascii="仿宋_GB2312" w:hAnsi="仿宋_GB2312" w:eastAsia="仿宋_GB2312" w:cs="仿宋_GB2312"/>
          <w:color w:val="333333"/>
          <w:spacing w:val="0"/>
          <w:sz w:val="32"/>
          <w:szCs w:val="32"/>
          <w:lang w:val="en-US" w:eastAsia="zh-CN"/>
        </w:rPr>
        <w:t>上级</w:t>
      </w:r>
      <w:r>
        <w:rPr>
          <w:rFonts w:hint="eastAsia" w:ascii="仿宋_GB2312" w:hAnsi="仿宋_GB2312" w:eastAsia="仿宋_GB2312" w:cs="仿宋_GB2312"/>
          <w:color w:val="333333"/>
          <w:spacing w:val="0"/>
          <w:sz w:val="32"/>
          <w:szCs w:val="32"/>
        </w:rPr>
        <w:t>相关文件精神，确保政府信息全面、及时、准确公开，不断提高政府信息公开工作的透明度和公信力，大力推进生态环境领域政府信息公开工作，切实保障人民群众的环境知情权、参与权、监督权和表达权。</w:t>
      </w:r>
    </w:p>
    <w:p w14:paraId="75EF034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3"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lang w:eastAsia="zh-CN"/>
        </w:rPr>
        <w:t>（一）</w:t>
      </w:r>
      <w:r>
        <w:rPr>
          <w:rFonts w:hint="eastAsia" w:ascii="楷体_GB2312" w:hAnsi="楷体_GB2312" w:eastAsia="楷体_GB2312" w:cs="楷体_GB2312"/>
          <w:b/>
          <w:bCs/>
          <w:i w:val="0"/>
          <w:caps w:val="0"/>
          <w:color w:val="333333"/>
          <w:spacing w:val="0"/>
          <w:sz w:val="32"/>
          <w:szCs w:val="32"/>
          <w:shd w:val="clear" w:color="auto" w:fill="FFFFFF"/>
        </w:rPr>
        <w:t>主动公开方面</w:t>
      </w:r>
    </w:p>
    <w:p w14:paraId="7C83C81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0"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rPr>
      </w:pPr>
      <w:r>
        <w:rPr>
          <w:rFonts w:hint="eastAsia" w:ascii="仿宋_GB2312" w:hAnsi="仿宋_GB2312" w:eastAsia="仿宋_GB2312" w:cs="仿宋_GB2312"/>
          <w:color w:val="333333"/>
          <w:spacing w:val="0"/>
          <w:sz w:val="32"/>
          <w:szCs w:val="32"/>
          <w:lang w:val="en-US" w:eastAsia="zh-CN"/>
        </w:rPr>
        <w:t>截止2025年12月31日，我局在政府网站累计主动公开政府信息30条，政府文件4条；政府信息公开0条；规划信息5条；部门预算决算公开类2条；统计信息4条；行政许可7条；政务公开要点0条；其他法定公开6条；政府信息年报1条。</w:t>
      </w:r>
    </w:p>
    <w:p w14:paraId="33EA99E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3"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lang w:eastAsia="zh-CN"/>
        </w:rPr>
        <w:t>（二）</w:t>
      </w:r>
      <w:r>
        <w:rPr>
          <w:rFonts w:hint="eastAsia" w:ascii="楷体_GB2312" w:hAnsi="楷体_GB2312" w:eastAsia="楷体_GB2312" w:cs="楷体_GB2312"/>
          <w:b/>
          <w:bCs/>
          <w:i w:val="0"/>
          <w:caps w:val="0"/>
          <w:color w:val="333333"/>
          <w:spacing w:val="0"/>
          <w:sz w:val="32"/>
          <w:szCs w:val="32"/>
          <w:shd w:val="clear" w:color="auto" w:fill="FFFFFF"/>
        </w:rPr>
        <w:t>依申请公开方面</w:t>
      </w:r>
    </w:p>
    <w:p w14:paraId="21DD5C3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333333"/>
          <w:spacing w:val="0"/>
          <w:sz w:val="32"/>
          <w:szCs w:val="32"/>
        </w:rPr>
      </w:pPr>
      <w:r>
        <w:rPr>
          <w:rFonts w:hint="eastAsia" w:ascii="仿宋_GB2312" w:hAnsi="仿宋_GB2312" w:eastAsia="仿宋_GB2312" w:cs="仿宋_GB2312"/>
          <w:color w:val="333333"/>
          <w:spacing w:val="0"/>
          <w:sz w:val="32"/>
          <w:szCs w:val="32"/>
        </w:rPr>
        <w:t>依据《条例》，严格履行申请、受理、登记、办理、答复等法定程序，</w:t>
      </w:r>
      <w:r>
        <w:rPr>
          <w:rFonts w:hint="eastAsia" w:ascii="仿宋_GB2312" w:hAnsi="仿宋_GB2312" w:eastAsia="仿宋_GB2312" w:cs="仿宋_GB2312"/>
          <w:color w:val="333333"/>
          <w:spacing w:val="0"/>
          <w:sz w:val="32"/>
          <w:szCs w:val="32"/>
          <w:lang w:eastAsia="zh-CN"/>
        </w:rPr>
        <w:t>202</w:t>
      </w:r>
      <w:r>
        <w:rPr>
          <w:rFonts w:hint="eastAsia" w:ascii="仿宋_GB2312" w:hAnsi="仿宋_GB2312" w:eastAsia="仿宋_GB2312" w:cs="仿宋_GB2312"/>
          <w:color w:val="333333"/>
          <w:spacing w:val="0"/>
          <w:sz w:val="32"/>
          <w:szCs w:val="32"/>
          <w:lang w:val="en-US" w:eastAsia="zh-CN"/>
        </w:rPr>
        <w:t>5</w:t>
      </w:r>
      <w:r>
        <w:rPr>
          <w:rFonts w:hint="eastAsia" w:ascii="仿宋_GB2312" w:hAnsi="仿宋_GB2312" w:eastAsia="仿宋_GB2312" w:cs="仿宋_GB2312"/>
          <w:color w:val="333333"/>
          <w:spacing w:val="0"/>
          <w:sz w:val="32"/>
          <w:szCs w:val="32"/>
        </w:rPr>
        <w:t>年度未收到政府信息公开申请。</w:t>
      </w:r>
      <w:r>
        <w:rPr>
          <w:rFonts w:hint="eastAsia" w:ascii="仿宋_GB2312" w:hAnsi="仿宋_GB2312" w:eastAsia="仿宋_GB2312" w:cs="仿宋_GB2312"/>
          <w:color w:val="333333"/>
          <w:spacing w:val="0"/>
          <w:sz w:val="32"/>
          <w:szCs w:val="32"/>
          <w:lang w:eastAsia="zh-CN"/>
        </w:rPr>
        <w:t>202</w:t>
      </w:r>
      <w:r>
        <w:rPr>
          <w:rFonts w:hint="eastAsia" w:ascii="仿宋_GB2312" w:hAnsi="仿宋_GB2312" w:eastAsia="仿宋_GB2312" w:cs="仿宋_GB2312"/>
          <w:color w:val="333333"/>
          <w:spacing w:val="0"/>
          <w:sz w:val="32"/>
          <w:szCs w:val="32"/>
          <w:lang w:val="en-US" w:eastAsia="zh-CN"/>
        </w:rPr>
        <w:t>5</w:t>
      </w:r>
      <w:r>
        <w:rPr>
          <w:rFonts w:hint="eastAsia" w:ascii="仿宋_GB2312" w:hAnsi="仿宋_GB2312" w:eastAsia="仿宋_GB2312" w:cs="仿宋_GB2312"/>
          <w:color w:val="333333"/>
          <w:spacing w:val="0"/>
          <w:sz w:val="32"/>
          <w:szCs w:val="32"/>
        </w:rPr>
        <w:t>年未发生因政府信息公开申请处理不当引发的行政复议或行政诉讼。</w:t>
      </w:r>
    </w:p>
    <w:p w14:paraId="6CF3801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3"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lang w:eastAsia="zh-CN"/>
        </w:rPr>
        <w:t>（三）</w:t>
      </w:r>
      <w:r>
        <w:rPr>
          <w:rFonts w:hint="eastAsia" w:ascii="楷体_GB2312" w:hAnsi="楷体_GB2312" w:eastAsia="楷体_GB2312" w:cs="楷体_GB2312"/>
          <w:b/>
          <w:bCs/>
          <w:i w:val="0"/>
          <w:caps w:val="0"/>
          <w:color w:val="333333"/>
          <w:spacing w:val="0"/>
          <w:sz w:val="32"/>
          <w:szCs w:val="32"/>
          <w:shd w:val="clear" w:color="auto" w:fill="FFFFFF"/>
        </w:rPr>
        <w:t>政府信息管理方面</w:t>
      </w:r>
    </w:p>
    <w:p w14:paraId="083B528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0"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rPr>
      </w:pPr>
      <w:r>
        <w:rPr>
          <w:rFonts w:hint="eastAsia" w:ascii="仿宋_GB2312" w:hAnsi="仿宋_GB2312" w:eastAsia="仿宋_GB2312" w:cs="仿宋_GB2312"/>
          <w:color w:val="333333"/>
          <w:spacing w:val="0"/>
          <w:sz w:val="32"/>
          <w:szCs w:val="32"/>
        </w:rPr>
        <w:t>按照上级要求，依法依规确定公开属性、规范法定主动公开内容。严格落实“先审查、后公开”和“一事一审”要求，对拟公开的政府信息依法依规进行政府信息公开保密审查，确保信息公开标准化、规范化运行，切实提高政府信息公开质量。</w:t>
      </w:r>
      <w:r>
        <w:rPr>
          <w:rFonts w:hint="eastAsia" w:ascii="仿宋_GB2312" w:hAnsi="仿宋_GB2312" w:eastAsia="仿宋_GB2312" w:cs="仿宋_GB2312"/>
          <w:color w:val="333333"/>
          <w:spacing w:val="0"/>
          <w:sz w:val="32"/>
          <w:szCs w:val="32"/>
          <w:lang w:val="en-US" w:eastAsia="zh-CN"/>
        </w:rPr>
        <w:t>2025年未发布规范性文件。</w:t>
      </w:r>
    </w:p>
    <w:p w14:paraId="3F3432C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firstLine="643"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lang w:eastAsia="zh-CN"/>
        </w:rPr>
        <w:t>（四）</w:t>
      </w:r>
      <w:r>
        <w:rPr>
          <w:rFonts w:hint="eastAsia" w:ascii="楷体_GB2312" w:hAnsi="楷体_GB2312" w:eastAsia="楷体_GB2312" w:cs="楷体_GB2312"/>
          <w:b/>
          <w:bCs/>
          <w:i w:val="0"/>
          <w:caps w:val="0"/>
          <w:color w:val="333333"/>
          <w:spacing w:val="0"/>
          <w:sz w:val="32"/>
          <w:szCs w:val="32"/>
          <w:shd w:val="clear" w:color="auto" w:fill="FFFFFF"/>
        </w:rPr>
        <w:t>平台建设方面</w:t>
      </w:r>
    </w:p>
    <w:p w14:paraId="49B2590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333333"/>
          <w:spacing w:val="0"/>
          <w:sz w:val="32"/>
          <w:szCs w:val="32"/>
        </w:rPr>
      </w:pPr>
      <w:r>
        <w:rPr>
          <w:rFonts w:hint="eastAsia" w:ascii="仿宋_GB2312" w:hAnsi="仿宋_GB2312" w:eastAsia="仿宋_GB2312" w:cs="仿宋_GB2312"/>
          <w:color w:val="333333"/>
          <w:spacing w:val="0"/>
          <w:sz w:val="32"/>
          <w:szCs w:val="32"/>
        </w:rPr>
        <w:t>规范政府信息公开栏目设置，以政府信息公开专栏为主阵地，积极拓宽政府信息公开渠道。严格按照信息审核制度落实审核程序，并安排专人负责网站日常管理维护，确保及时、准确发布政府信息。</w:t>
      </w:r>
    </w:p>
    <w:p w14:paraId="76E37E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lang w:eastAsia="zh-CN"/>
        </w:rPr>
        <w:t>（五）</w:t>
      </w:r>
      <w:r>
        <w:rPr>
          <w:rFonts w:hint="eastAsia" w:ascii="楷体_GB2312" w:hAnsi="楷体_GB2312" w:eastAsia="楷体_GB2312" w:cs="楷体_GB2312"/>
          <w:b/>
          <w:bCs/>
          <w:i w:val="0"/>
          <w:caps w:val="0"/>
          <w:color w:val="333333"/>
          <w:spacing w:val="0"/>
          <w:sz w:val="32"/>
          <w:szCs w:val="32"/>
          <w:shd w:val="clear" w:color="auto" w:fill="FFFFFF"/>
        </w:rPr>
        <w:t>监督保障方面</w:t>
      </w:r>
    </w:p>
    <w:p w14:paraId="2C5AFF6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333333"/>
          <w:spacing w:val="0"/>
          <w:sz w:val="32"/>
          <w:szCs w:val="32"/>
          <w:lang w:eastAsia="zh-CN"/>
        </w:rPr>
      </w:pPr>
      <w:r>
        <w:rPr>
          <w:rFonts w:hint="eastAsia" w:ascii="仿宋_GB2312" w:hAnsi="仿宋_GB2312" w:eastAsia="仿宋_GB2312" w:cs="仿宋_GB2312"/>
          <w:color w:val="333333"/>
          <w:spacing w:val="0"/>
          <w:sz w:val="32"/>
          <w:szCs w:val="32"/>
        </w:rPr>
        <w:t>认真贯彻落实政府信息公开的相关部署和要求，明确政府信息公开内容的拟稿人初核、</w:t>
      </w:r>
      <w:r>
        <w:rPr>
          <w:rFonts w:hint="eastAsia" w:ascii="仿宋_GB2312" w:hAnsi="仿宋_GB2312" w:eastAsia="仿宋_GB2312" w:cs="仿宋_GB2312"/>
          <w:color w:val="333333"/>
          <w:spacing w:val="0"/>
          <w:sz w:val="32"/>
          <w:szCs w:val="32"/>
          <w:lang w:val="en-US" w:eastAsia="zh-CN"/>
        </w:rPr>
        <w:t>股队长</w:t>
      </w:r>
      <w:r>
        <w:rPr>
          <w:rFonts w:hint="eastAsia" w:ascii="仿宋_GB2312" w:hAnsi="仿宋_GB2312" w:eastAsia="仿宋_GB2312" w:cs="仿宋_GB2312"/>
          <w:color w:val="333333"/>
          <w:spacing w:val="0"/>
          <w:sz w:val="32"/>
          <w:szCs w:val="32"/>
        </w:rPr>
        <w:t>复核、办公室校核、领导审核四级审核制度，并督促各</w:t>
      </w:r>
      <w:r>
        <w:rPr>
          <w:rFonts w:hint="eastAsia" w:ascii="仿宋_GB2312" w:hAnsi="仿宋_GB2312" w:eastAsia="仿宋_GB2312" w:cs="仿宋_GB2312"/>
          <w:color w:val="333333"/>
          <w:spacing w:val="0"/>
          <w:sz w:val="32"/>
          <w:szCs w:val="32"/>
          <w:lang w:val="en-US" w:eastAsia="zh-CN"/>
        </w:rPr>
        <w:t>股队</w:t>
      </w:r>
      <w:r>
        <w:rPr>
          <w:rFonts w:hint="eastAsia" w:ascii="仿宋_GB2312" w:hAnsi="仿宋_GB2312" w:eastAsia="仿宋_GB2312" w:cs="仿宋_GB2312"/>
          <w:color w:val="333333"/>
          <w:spacing w:val="0"/>
          <w:sz w:val="32"/>
          <w:szCs w:val="32"/>
        </w:rPr>
        <w:t>信息主动落实“主动公开”、“依申请公开”、“不予公开”等属性，做好保密审查工作</w:t>
      </w:r>
      <w:r>
        <w:rPr>
          <w:rFonts w:hint="eastAsia" w:ascii="仿宋_GB2312" w:hAnsi="仿宋_GB2312" w:eastAsia="仿宋_GB2312" w:cs="仿宋_GB2312"/>
          <w:color w:val="333333"/>
          <w:spacing w:val="0"/>
          <w:sz w:val="32"/>
          <w:szCs w:val="32"/>
          <w:lang w:eastAsia="zh-CN"/>
        </w:rPr>
        <w:t>。</w:t>
      </w:r>
    </w:p>
    <w:p w14:paraId="503802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Times New Roman" w:hAnsi="Times New Roman" w:eastAsia="宋体" w:cs="宋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二、主动公开政府信息情况</w:t>
      </w:r>
    </w:p>
    <w:tbl>
      <w:tblPr>
        <w:tblStyle w:val="7"/>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32"/>
        <w:gridCol w:w="2268"/>
        <w:gridCol w:w="2268"/>
        <w:gridCol w:w="2268"/>
      </w:tblGrid>
      <w:tr w14:paraId="296D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636" w:type="dxa"/>
            <w:gridSpan w:val="4"/>
            <w:noWrap w:val="0"/>
            <w:tcMar>
              <w:left w:w="57" w:type="dxa"/>
              <w:right w:w="57" w:type="dxa"/>
            </w:tcMar>
            <w:vAlign w:val="center"/>
          </w:tcPr>
          <w:p w14:paraId="0D5684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第二十条第（一）项</w:t>
            </w:r>
          </w:p>
        </w:tc>
      </w:tr>
      <w:tr w14:paraId="6DB7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507FB0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2268" w:type="dxa"/>
            <w:noWrap w:val="0"/>
            <w:tcMar>
              <w:left w:w="57" w:type="dxa"/>
              <w:right w:w="57" w:type="dxa"/>
            </w:tcMar>
            <w:vAlign w:val="center"/>
          </w:tcPr>
          <w:p w14:paraId="63FFF2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w:t>
            </w:r>
            <w:r>
              <w:rPr>
                <w:rFonts w:hint="eastAsia" w:ascii="Times New Roman" w:hAnsi="Times New Roman" w:eastAsia="宋体" w:cs="宋体"/>
                <w:kern w:val="0"/>
                <w:sz w:val="20"/>
                <w:szCs w:val="20"/>
                <w:lang w:val="en-US" w:eastAsia="zh-CN" w:bidi="ar"/>
              </w:rPr>
              <w:t>制发件数</w:t>
            </w:r>
          </w:p>
        </w:tc>
        <w:tc>
          <w:tcPr>
            <w:tcW w:w="2268" w:type="dxa"/>
            <w:noWrap w:val="0"/>
            <w:tcMar>
              <w:left w:w="57" w:type="dxa"/>
              <w:right w:w="57" w:type="dxa"/>
            </w:tcMar>
            <w:vAlign w:val="center"/>
          </w:tcPr>
          <w:p w14:paraId="0209F1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本年废止件数</w:t>
            </w:r>
          </w:p>
        </w:tc>
        <w:tc>
          <w:tcPr>
            <w:tcW w:w="2268" w:type="dxa"/>
            <w:noWrap w:val="0"/>
            <w:tcMar>
              <w:left w:w="57" w:type="dxa"/>
              <w:right w:w="57" w:type="dxa"/>
            </w:tcMar>
            <w:vAlign w:val="center"/>
          </w:tcPr>
          <w:p w14:paraId="730DAC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现行有效件</w:t>
            </w:r>
            <w:r>
              <w:rPr>
                <w:rFonts w:hint="eastAsia" w:ascii="Times New Roman" w:hAnsi="Times New Roman" w:eastAsia="宋体" w:cs="宋体"/>
                <w:kern w:val="0"/>
                <w:sz w:val="20"/>
                <w:szCs w:val="20"/>
                <w:lang w:val="en-US" w:eastAsia="zh-CN" w:bidi="ar"/>
              </w:rPr>
              <w:t>数</w:t>
            </w:r>
          </w:p>
        </w:tc>
      </w:tr>
      <w:tr w14:paraId="403A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7F53F6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规章</w:t>
            </w:r>
          </w:p>
        </w:tc>
        <w:tc>
          <w:tcPr>
            <w:tcW w:w="2268" w:type="dxa"/>
            <w:noWrap w:val="0"/>
            <w:tcMar>
              <w:left w:w="57" w:type="dxa"/>
              <w:right w:w="57" w:type="dxa"/>
            </w:tcMar>
            <w:vAlign w:val="center"/>
          </w:tcPr>
          <w:p w14:paraId="23148D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44CAA5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2268" w:type="dxa"/>
            <w:noWrap w:val="0"/>
            <w:tcMar>
              <w:left w:w="57" w:type="dxa"/>
              <w:right w:w="57" w:type="dxa"/>
            </w:tcMar>
            <w:vAlign w:val="center"/>
          </w:tcPr>
          <w:p w14:paraId="33A6EA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700D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68D42E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行政规范性文件</w:t>
            </w:r>
          </w:p>
        </w:tc>
        <w:tc>
          <w:tcPr>
            <w:tcW w:w="2268" w:type="dxa"/>
            <w:noWrap w:val="0"/>
            <w:tcMar>
              <w:left w:w="57" w:type="dxa"/>
              <w:right w:w="57" w:type="dxa"/>
            </w:tcMar>
            <w:vAlign w:val="center"/>
          </w:tcPr>
          <w:p w14:paraId="20AEA1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2FC867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2268" w:type="dxa"/>
            <w:noWrap w:val="0"/>
            <w:tcMar>
              <w:left w:w="57" w:type="dxa"/>
              <w:right w:w="57" w:type="dxa"/>
            </w:tcMar>
            <w:vAlign w:val="center"/>
          </w:tcPr>
          <w:p w14:paraId="081173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714F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636" w:type="dxa"/>
            <w:gridSpan w:val="4"/>
            <w:noWrap w:val="0"/>
            <w:tcMar>
              <w:left w:w="57" w:type="dxa"/>
              <w:right w:w="57" w:type="dxa"/>
            </w:tcMar>
            <w:vAlign w:val="center"/>
          </w:tcPr>
          <w:p w14:paraId="35D385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第二十条第（五）项</w:t>
            </w:r>
          </w:p>
        </w:tc>
      </w:tr>
      <w:tr w14:paraId="25D4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4526DE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13923C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14:paraId="2EB6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027B11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行政许可</w:t>
            </w:r>
          </w:p>
        </w:tc>
        <w:tc>
          <w:tcPr>
            <w:tcW w:w="6804" w:type="dxa"/>
            <w:gridSpan w:val="3"/>
            <w:noWrap w:val="0"/>
            <w:tcMar>
              <w:left w:w="57" w:type="dxa"/>
              <w:right w:w="57" w:type="dxa"/>
            </w:tcMar>
            <w:vAlign w:val="center"/>
          </w:tcPr>
          <w:p w14:paraId="2F4AB2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7</w:t>
            </w:r>
          </w:p>
        </w:tc>
      </w:tr>
      <w:tr w14:paraId="6155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636" w:type="dxa"/>
            <w:gridSpan w:val="4"/>
            <w:noWrap w:val="0"/>
            <w:tcMar>
              <w:left w:w="57" w:type="dxa"/>
              <w:right w:w="57" w:type="dxa"/>
            </w:tcMar>
            <w:vAlign w:val="center"/>
          </w:tcPr>
          <w:p w14:paraId="5361C7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第二十条第（六）项</w:t>
            </w:r>
          </w:p>
        </w:tc>
      </w:tr>
      <w:tr w14:paraId="6E57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498E67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0A9009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14:paraId="4623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11A381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行政处罚</w:t>
            </w:r>
          </w:p>
        </w:tc>
        <w:tc>
          <w:tcPr>
            <w:tcW w:w="6804" w:type="dxa"/>
            <w:gridSpan w:val="3"/>
            <w:noWrap w:val="0"/>
            <w:tcMar>
              <w:left w:w="57" w:type="dxa"/>
              <w:right w:w="57" w:type="dxa"/>
            </w:tcMar>
            <w:vAlign w:val="center"/>
          </w:tcPr>
          <w:p w14:paraId="28D34A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5</w:t>
            </w:r>
          </w:p>
        </w:tc>
      </w:tr>
      <w:tr w14:paraId="086C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7B5F7D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行政强制</w:t>
            </w:r>
          </w:p>
        </w:tc>
        <w:tc>
          <w:tcPr>
            <w:tcW w:w="6804" w:type="dxa"/>
            <w:gridSpan w:val="3"/>
            <w:noWrap w:val="0"/>
            <w:tcMar>
              <w:left w:w="57" w:type="dxa"/>
              <w:right w:w="57" w:type="dxa"/>
            </w:tcMar>
            <w:vAlign w:val="center"/>
          </w:tcPr>
          <w:p w14:paraId="093F7F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7CA3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636" w:type="dxa"/>
            <w:gridSpan w:val="4"/>
            <w:noWrap w:val="0"/>
            <w:tcMar>
              <w:left w:w="57" w:type="dxa"/>
              <w:right w:w="57" w:type="dxa"/>
            </w:tcMar>
            <w:vAlign w:val="center"/>
          </w:tcPr>
          <w:p w14:paraId="160553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第二十条第（八）项</w:t>
            </w:r>
          </w:p>
        </w:tc>
      </w:tr>
      <w:tr w14:paraId="7460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4FD809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7ACD00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本年收费金额（单位：万元）</w:t>
            </w:r>
          </w:p>
        </w:tc>
      </w:tr>
      <w:tr w14:paraId="171E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2EABB9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行政事业性收费</w:t>
            </w:r>
          </w:p>
        </w:tc>
        <w:tc>
          <w:tcPr>
            <w:tcW w:w="6804" w:type="dxa"/>
            <w:gridSpan w:val="3"/>
            <w:noWrap w:val="0"/>
            <w:tcMar>
              <w:left w:w="57" w:type="dxa"/>
              <w:right w:w="57" w:type="dxa"/>
            </w:tcMar>
            <w:vAlign w:val="center"/>
          </w:tcPr>
          <w:p w14:paraId="3E2674D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0</w:t>
            </w:r>
          </w:p>
        </w:tc>
      </w:tr>
    </w:tbl>
    <w:p w14:paraId="468E56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32"/>
          <w:szCs w:val="32"/>
          <w:shd w:val="clear" w:color="auto" w:fill="FFFFFF"/>
        </w:rPr>
        <w:t>三、收到和处理政府信息公开申请情况</w:t>
      </w:r>
    </w:p>
    <w:tbl>
      <w:tblPr>
        <w:tblStyle w:val="7"/>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gridCol w:w="627"/>
        <w:gridCol w:w="2729"/>
        <w:gridCol w:w="624"/>
        <w:gridCol w:w="624"/>
        <w:gridCol w:w="624"/>
        <w:gridCol w:w="624"/>
        <w:gridCol w:w="624"/>
        <w:gridCol w:w="624"/>
        <w:gridCol w:w="624"/>
      </w:tblGrid>
      <w:tr w14:paraId="474B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4321" w:type="dxa"/>
            <w:gridSpan w:val="3"/>
            <w:vMerge w:val="restart"/>
            <w:noWrap w:val="0"/>
            <w:tcMar>
              <w:left w:w="108" w:type="dxa"/>
              <w:right w:w="108" w:type="dxa"/>
            </w:tcMar>
            <w:vAlign w:val="center"/>
          </w:tcPr>
          <w:p w14:paraId="0643F1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ascii="Times New Roman" w:hAnsi="Times New Roman" w:eastAsia="楷体" w:cs="楷体"/>
                <w:kern w:val="0"/>
                <w:sz w:val="20"/>
                <w:szCs w:val="20"/>
                <w:lang w:val="en-US" w:eastAsia="zh-CN" w:bidi="ar"/>
              </w:rPr>
              <w:t>（本列数据的勾稽关系为：第一项加第二项之和，等于第三项加第四项之和）</w:t>
            </w:r>
          </w:p>
        </w:tc>
        <w:tc>
          <w:tcPr>
            <w:tcW w:w="4368" w:type="dxa"/>
            <w:gridSpan w:val="7"/>
            <w:noWrap w:val="0"/>
            <w:tcMar>
              <w:left w:w="57" w:type="dxa"/>
              <w:right w:w="57" w:type="dxa"/>
            </w:tcMar>
            <w:vAlign w:val="center"/>
          </w:tcPr>
          <w:p w14:paraId="5E19C2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申请人情况</w:t>
            </w:r>
          </w:p>
        </w:tc>
      </w:tr>
      <w:tr w14:paraId="7D42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21" w:type="dxa"/>
            <w:gridSpan w:val="3"/>
            <w:vMerge w:val="continue"/>
            <w:noWrap w:val="0"/>
            <w:tcMar>
              <w:left w:w="108" w:type="dxa"/>
              <w:right w:w="108" w:type="dxa"/>
            </w:tcMar>
            <w:vAlign w:val="center"/>
          </w:tcPr>
          <w:p w14:paraId="49B6348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4" w:type="dxa"/>
            <w:vMerge w:val="restart"/>
            <w:noWrap w:val="0"/>
            <w:tcMar>
              <w:left w:w="57" w:type="dxa"/>
              <w:right w:w="57" w:type="dxa"/>
            </w:tcMar>
            <w:vAlign w:val="center"/>
          </w:tcPr>
          <w:p w14:paraId="4E3F68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自</w:t>
            </w:r>
          </w:p>
          <w:p w14:paraId="797D4B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然</w:t>
            </w:r>
          </w:p>
          <w:p w14:paraId="52BF3F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人</w:t>
            </w:r>
          </w:p>
        </w:tc>
        <w:tc>
          <w:tcPr>
            <w:tcW w:w="3120" w:type="dxa"/>
            <w:gridSpan w:val="5"/>
            <w:noWrap w:val="0"/>
            <w:tcMar>
              <w:left w:w="57" w:type="dxa"/>
              <w:right w:w="57" w:type="dxa"/>
            </w:tcMar>
            <w:vAlign w:val="center"/>
          </w:tcPr>
          <w:p w14:paraId="6187D4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法人或其他组织</w:t>
            </w:r>
          </w:p>
        </w:tc>
        <w:tc>
          <w:tcPr>
            <w:tcW w:w="624" w:type="dxa"/>
            <w:noWrap w:val="0"/>
            <w:tcMar>
              <w:left w:w="57" w:type="dxa"/>
              <w:right w:w="57" w:type="dxa"/>
            </w:tcMar>
            <w:vAlign w:val="center"/>
          </w:tcPr>
          <w:p w14:paraId="1532BC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总计</w:t>
            </w:r>
          </w:p>
        </w:tc>
      </w:tr>
      <w:tr w14:paraId="2A0D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jc w:val="center"/>
        </w:trPr>
        <w:tc>
          <w:tcPr>
            <w:tcW w:w="4321" w:type="dxa"/>
            <w:gridSpan w:val="3"/>
            <w:vMerge w:val="continue"/>
            <w:noWrap w:val="0"/>
            <w:tcMar>
              <w:left w:w="108" w:type="dxa"/>
              <w:right w:w="108" w:type="dxa"/>
            </w:tcMar>
            <w:vAlign w:val="center"/>
          </w:tcPr>
          <w:p w14:paraId="645ED52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4" w:type="dxa"/>
            <w:vMerge w:val="continue"/>
            <w:noWrap w:val="0"/>
            <w:tcMar>
              <w:left w:w="57" w:type="dxa"/>
              <w:right w:w="57" w:type="dxa"/>
            </w:tcMar>
            <w:vAlign w:val="center"/>
          </w:tcPr>
          <w:p w14:paraId="484CDA7F">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624" w:type="dxa"/>
            <w:noWrap w:val="0"/>
            <w:tcMar>
              <w:left w:w="57" w:type="dxa"/>
              <w:right w:w="57" w:type="dxa"/>
            </w:tcMar>
            <w:vAlign w:val="center"/>
          </w:tcPr>
          <w:p w14:paraId="11E499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商业</w:t>
            </w:r>
          </w:p>
          <w:p w14:paraId="5D2B51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企业</w:t>
            </w:r>
          </w:p>
        </w:tc>
        <w:tc>
          <w:tcPr>
            <w:tcW w:w="624" w:type="dxa"/>
            <w:noWrap w:val="0"/>
            <w:tcMar>
              <w:left w:w="57" w:type="dxa"/>
              <w:right w:w="57" w:type="dxa"/>
            </w:tcMar>
            <w:vAlign w:val="center"/>
          </w:tcPr>
          <w:p w14:paraId="605913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科研</w:t>
            </w:r>
          </w:p>
          <w:p w14:paraId="2AE605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机构</w:t>
            </w:r>
          </w:p>
        </w:tc>
        <w:tc>
          <w:tcPr>
            <w:tcW w:w="624" w:type="dxa"/>
            <w:noWrap w:val="0"/>
            <w:tcMar>
              <w:left w:w="57" w:type="dxa"/>
              <w:right w:w="57" w:type="dxa"/>
            </w:tcMar>
            <w:vAlign w:val="center"/>
          </w:tcPr>
          <w:p w14:paraId="6796E5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社会公益组织</w:t>
            </w:r>
          </w:p>
        </w:tc>
        <w:tc>
          <w:tcPr>
            <w:tcW w:w="624" w:type="dxa"/>
            <w:noWrap w:val="0"/>
            <w:tcMar>
              <w:left w:w="57" w:type="dxa"/>
              <w:right w:w="57" w:type="dxa"/>
            </w:tcMar>
            <w:vAlign w:val="center"/>
          </w:tcPr>
          <w:p w14:paraId="758157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法律服务机构</w:t>
            </w:r>
          </w:p>
        </w:tc>
        <w:tc>
          <w:tcPr>
            <w:tcW w:w="624" w:type="dxa"/>
            <w:noWrap w:val="0"/>
            <w:tcMar>
              <w:left w:w="57" w:type="dxa"/>
              <w:right w:w="57" w:type="dxa"/>
            </w:tcMar>
            <w:vAlign w:val="center"/>
          </w:tcPr>
          <w:p w14:paraId="03AD7B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其他</w:t>
            </w:r>
          </w:p>
        </w:tc>
        <w:tc>
          <w:tcPr>
            <w:tcW w:w="624" w:type="dxa"/>
            <w:noWrap w:val="0"/>
            <w:tcMar>
              <w:left w:w="57" w:type="dxa"/>
              <w:right w:w="57" w:type="dxa"/>
            </w:tcMar>
            <w:vAlign w:val="center"/>
          </w:tcPr>
          <w:p w14:paraId="2069ECEA">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r>
      <w:tr w14:paraId="3E95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321" w:type="dxa"/>
            <w:gridSpan w:val="3"/>
            <w:noWrap w:val="0"/>
            <w:tcMar>
              <w:left w:w="57" w:type="dxa"/>
              <w:right w:w="57" w:type="dxa"/>
            </w:tcMar>
            <w:vAlign w:val="center"/>
          </w:tcPr>
          <w:p w14:paraId="031EF4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一、本年新收政府信息公开申请数量</w:t>
            </w:r>
          </w:p>
        </w:tc>
        <w:tc>
          <w:tcPr>
            <w:tcW w:w="624" w:type="dxa"/>
            <w:noWrap w:val="0"/>
            <w:tcMar>
              <w:left w:w="57" w:type="dxa"/>
              <w:right w:w="57" w:type="dxa"/>
            </w:tcMar>
            <w:vAlign w:val="center"/>
          </w:tcPr>
          <w:p w14:paraId="2E8FE8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24" w:type="dxa"/>
            <w:noWrap w:val="0"/>
            <w:tcMar>
              <w:left w:w="57" w:type="dxa"/>
              <w:right w:w="57" w:type="dxa"/>
            </w:tcMar>
            <w:vAlign w:val="center"/>
          </w:tcPr>
          <w:p w14:paraId="3C6A66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24" w:type="dxa"/>
            <w:noWrap w:val="0"/>
            <w:tcMar>
              <w:left w:w="57" w:type="dxa"/>
              <w:right w:w="57" w:type="dxa"/>
            </w:tcMar>
            <w:vAlign w:val="center"/>
          </w:tcPr>
          <w:p w14:paraId="03AB3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24" w:type="dxa"/>
            <w:noWrap w:val="0"/>
            <w:tcMar>
              <w:left w:w="57" w:type="dxa"/>
              <w:right w:w="57" w:type="dxa"/>
            </w:tcMar>
            <w:vAlign w:val="center"/>
          </w:tcPr>
          <w:p w14:paraId="180ABC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24" w:type="dxa"/>
            <w:noWrap w:val="0"/>
            <w:tcMar>
              <w:left w:w="57" w:type="dxa"/>
              <w:right w:w="57" w:type="dxa"/>
            </w:tcMar>
            <w:vAlign w:val="center"/>
          </w:tcPr>
          <w:p w14:paraId="371A8E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24" w:type="dxa"/>
            <w:noWrap w:val="0"/>
            <w:tcMar>
              <w:left w:w="57" w:type="dxa"/>
              <w:right w:w="57" w:type="dxa"/>
            </w:tcMar>
            <w:vAlign w:val="center"/>
          </w:tcPr>
          <w:p w14:paraId="5A0B4B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24" w:type="dxa"/>
            <w:noWrap w:val="0"/>
            <w:tcMar>
              <w:left w:w="57" w:type="dxa"/>
              <w:right w:w="57" w:type="dxa"/>
            </w:tcMar>
            <w:vAlign w:val="center"/>
          </w:tcPr>
          <w:p w14:paraId="73A353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2904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4321" w:type="dxa"/>
            <w:gridSpan w:val="3"/>
            <w:noWrap w:val="0"/>
            <w:tcMar>
              <w:left w:w="57" w:type="dxa"/>
              <w:right w:w="57" w:type="dxa"/>
            </w:tcMar>
            <w:vAlign w:val="center"/>
          </w:tcPr>
          <w:p w14:paraId="329338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二、上年结转政府信息公开申请数量</w:t>
            </w:r>
          </w:p>
        </w:tc>
        <w:tc>
          <w:tcPr>
            <w:tcW w:w="624" w:type="dxa"/>
            <w:shd w:val="clear" w:color="auto" w:fill="auto"/>
            <w:noWrap w:val="0"/>
            <w:tcMar>
              <w:left w:w="57" w:type="dxa"/>
              <w:right w:w="57" w:type="dxa"/>
            </w:tcMar>
            <w:vAlign w:val="center"/>
          </w:tcPr>
          <w:p w14:paraId="19D333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24" w:type="dxa"/>
            <w:shd w:val="clear" w:color="auto" w:fill="auto"/>
            <w:noWrap w:val="0"/>
            <w:tcMar>
              <w:left w:w="57" w:type="dxa"/>
              <w:right w:w="57" w:type="dxa"/>
            </w:tcMar>
            <w:vAlign w:val="center"/>
          </w:tcPr>
          <w:p w14:paraId="3AAFAB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24" w:type="dxa"/>
            <w:shd w:val="clear" w:color="auto" w:fill="auto"/>
            <w:noWrap w:val="0"/>
            <w:tcMar>
              <w:left w:w="57" w:type="dxa"/>
              <w:right w:w="57" w:type="dxa"/>
            </w:tcMar>
            <w:vAlign w:val="center"/>
          </w:tcPr>
          <w:p w14:paraId="311486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24" w:type="dxa"/>
            <w:shd w:val="clear" w:color="auto" w:fill="auto"/>
            <w:noWrap w:val="0"/>
            <w:tcMar>
              <w:left w:w="57" w:type="dxa"/>
              <w:right w:w="57" w:type="dxa"/>
            </w:tcMar>
            <w:vAlign w:val="center"/>
          </w:tcPr>
          <w:p w14:paraId="7035D8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24" w:type="dxa"/>
            <w:shd w:val="clear" w:color="auto" w:fill="auto"/>
            <w:noWrap w:val="0"/>
            <w:tcMar>
              <w:left w:w="57" w:type="dxa"/>
              <w:right w:w="57" w:type="dxa"/>
            </w:tcMar>
            <w:vAlign w:val="center"/>
          </w:tcPr>
          <w:p w14:paraId="0419AE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24" w:type="dxa"/>
            <w:shd w:val="clear" w:color="auto" w:fill="auto"/>
            <w:noWrap w:val="0"/>
            <w:tcMar>
              <w:left w:w="57" w:type="dxa"/>
              <w:right w:w="57" w:type="dxa"/>
            </w:tcMar>
            <w:vAlign w:val="center"/>
          </w:tcPr>
          <w:p w14:paraId="461A2D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24" w:type="dxa"/>
            <w:shd w:val="clear" w:color="auto" w:fill="auto"/>
            <w:noWrap w:val="0"/>
            <w:tcMar>
              <w:left w:w="57" w:type="dxa"/>
              <w:right w:w="57" w:type="dxa"/>
            </w:tcMar>
            <w:vAlign w:val="center"/>
          </w:tcPr>
          <w:p w14:paraId="5C1DA8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653E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restart"/>
            <w:noWrap w:val="0"/>
            <w:tcMar>
              <w:left w:w="57" w:type="dxa"/>
              <w:right w:w="57" w:type="dxa"/>
            </w:tcMar>
            <w:vAlign w:val="center"/>
          </w:tcPr>
          <w:p w14:paraId="25B01F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三、本年度办理结果</w:t>
            </w:r>
          </w:p>
        </w:tc>
        <w:tc>
          <w:tcPr>
            <w:tcW w:w="3356" w:type="dxa"/>
            <w:gridSpan w:val="2"/>
            <w:noWrap w:val="0"/>
            <w:tcMar>
              <w:left w:w="57" w:type="dxa"/>
              <w:right w:w="57" w:type="dxa"/>
            </w:tcMar>
            <w:vAlign w:val="center"/>
          </w:tcPr>
          <w:p w14:paraId="276CB7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（一）予以公开</w:t>
            </w:r>
          </w:p>
        </w:tc>
        <w:tc>
          <w:tcPr>
            <w:tcW w:w="624" w:type="dxa"/>
            <w:shd w:val="clear" w:color="auto" w:fill="auto"/>
            <w:noWrap w:val="0"/>
            <w:tcMar>
              <w:left w:w="57" w:type="dxa"/>
              <w:right w:w="57" w:type="dxa"/>
            </w:tcMar>
            <w:vAlign w:val="center"/>
          </w:tcPr>
          <w:p w14:paraId="644372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24" w:type="dxa"/>
            <w:shd w:val="clear" w:color="auto" w:fill="auto"/>
            <w:noWrap w:val="0"/>
            <w:tcMar>
              <w:left w:w="57" w:type="dxa"/>
              <w:right w:w="57" w:type="dxa"/>
            </w:tcMar>
            <w:vAlign w:val="center"/>
          </w:tcPr>
          <w:p w14:paraId="28B713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24" w:type="dxa"/>
            <w:shd w:val="clear" w:color="auto" w:fill="auto"/>
            <w:noWrap w:val="0"/>
            <w:tcMar>
              <w:left w:w="57" w:type="dxa"/>
              <w:right w:w="57" w:type="dxa"/>
            </w:tcMar>
            <w:vAlign w:val="center"/>
          </w:tcPr>
          <w:p w14:paraId="2A12BC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24" w:type="dxa"/>
            <w:shd w:val="clear" w:color="auto" w:fill="auto"/>
            <w:noWrap w:val="0"/>
            <w:tcMar>
              <w:left w:w="57" w:type="dxa"/>
              <w:right w:w="57" w:type="dxa"/>
            </w:tcMar>
            <w:vAlign w:val="center"/>
          </w:tcPr>
          <w:p w14:paraId="60810B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24" w:type="dxa"/>
            <w:shd w:val="clear" w:color="auto" w:fill="auto"/>
            <w:noWrap w:val="0"/>
            <w:tcMar>
              <w:left w:w="57" w:type="dxa"/>
              <w:right w:w="57" w:type="dxa"/>
            </w:tcMar>
            <w:vAlign w:val="center"/>
          </w:tcPr>
          <w:p w14:paraId="2EA984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24" w:type="dxa"/>
            <w:shd w:val="clear" w:color="auto" w:fill="auto"/>
            <w:noWrap w:val="0"/>
            <w:tcMar>
              <w:left w:w="57" w:type="dxa"/>
              <w:right w:w="57" w:type="dxa"/>
            </w:tcMar>
            <w:vAlign w:val="center"/>
          </w:tcPr>
          <w:p w14:paraId="10D078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24" w:type="dxa"/>
            <w:shd w:val="clear" w:color="auto" w:fill="auto"/>
            <w:noWrap w:val="0"/>
            <w:tcMar>
              <w:left w:w="57" w:type="dxa"/>
              <w:right w:w="57" w:type="dxa"/>
            </w:tcMar>
            <w:vAlign w:val="center"/>
          </w:tcPr>
          <w:p w14:paraId="11247D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1E62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965" w:type="dxa"/>
            <w:vMerge w:val="continue"/>
            <w:noWrap w:val="0"/>
            <w:tcMar>
              <w:left w:w="57" w:type="dxa"/>
              <w:right w:w="57" w:type="dxa"/>
            </w:tcMar>
            <w:vAlign w:val="center"/>
          </w:tcPr>
          <w:p w14:paraId="2C4BA83D">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3356" w:type="dxa"/>
            <w:gridSpan w:val="2"/>
            <w:noWrap w:val="0"/>
            <w:tcMar>
              <w:left w:w="57" w:type="dxa"/>
              <w:right w:w="57" w:type="dxa"/>
            </w:tcMar>
            <w:vAlign w:val="center"/>
          </w:tcPr>
          <w:p w14:paraId="56BE8B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（二）部分公开</w:t>
            </w:r>
            <w:r>
              <w:rPr>
                <w:rFonts w:hint="eastAsia" w:ascii="Times New Roman" w:hAnsi="Times New Roman" w:eastAsia="楷体" w:cs="楷体"/>
                <w:kern w:val="0"/>
                <w:sz w:val="20"/>
                <w:szCs w:val="20"/>
                <w:lang w:val="en-US" w:eastAsia="zh-CN" w:bidi="ar"/>
              </w:rPr>
              <w:t>（区分处理的，只计这一情形，不计其他情形）</w:t>
            </w:r>
          </w:p>
        </w:tc>
        <w:tc>
          <w:tcPr>
            <w:tcW w:w="624" w:type="dxa"/>
            <w:noWrap w:val="0"/>
            <w:tcMar>
              <w:left w:w="57" w:type="dxa"/>
              <w:right w:w="57" w:type="dxa"/>
            </w:tcMar>
            <w:vAlign w:val="center"/>
          </w:tcPr>
          <w:p w14:paraId="734A8E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6B3927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092444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2574D4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721F48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21C166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6658CE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3C21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1A8E465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7286C0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（三）不予公开</w:t>
            </w:r>
          </w:p>
        </w:tc>
        <w:tc>
          <w:tcPr>
            <w:tcW w:w="2729" w:type="dxa"/>
            <w:noWrap w:val="0"/>
            <w:tcMar>
              <w:left w:w="57" w:type="dxa"/>
              <w:right w:w="57" w:type="dxa"/>
            </w:tcMar>
            <w:vAlign w:val="center"/>
          </w:tcPr>
          <w:p w14:paraId="70A6C2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1.属于国家秘密</w:t>
            </w:r>
          </w:p>
        </w:tc>
        <w:tc>
          <w:tcPr>
            <w:tcW w:w="624" w:type="dxa"/>
            <w:noWrap w:val="0"/>
            <w:tcMar>
              <w:left w:w="57" w:type="dxa"/>
              <w:right w:w="57" w:type="dxa"/>
            </w:tcMar>
            <w:vAlign w:val="center"/>
          </w:tcPr>
          <w:p w14:paraId="036A6B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47BA3D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38F31B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6FA783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4700D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71D13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70B4D5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5493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617A8057">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4FBDF6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729" w:type="dxa"/>
            <w:noWrap w:val="0"/>
            <w:tcMar>
              <w:left w:w="57" w:type="dxa"/>
              <w:right w:w="57" w:type="dxa"/>
            </w:tcMar>
            <w:vAlign w:val="center"/>
          </w:tcPr>
          <w:p w14:paraId="6529A5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2.其他法律行政法规禁止公开</w:t>
            </w:r>
          </w:p>
        </w:tc>
        <w:tc>
          <w:tcPr>
            <w:tcW w:w="624" w:type="dxa"/>
            <w:noWrap w:val="0"/>
            <w:tcMar>
              <w:left w:w="57" w:type="dxa"/>
              <w:right w:w="57" w:type="dxa"/>
            </w:tcMar>
            <w:vAlign w:val="center"/>
          </w:tcPr>
          <w:p w14:paraId="1A04CA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2FFECC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1C3AB6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44902F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3FF004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E2185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3D58FD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3D74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2930D9E0">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2B807C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729" w:type="dxa"/>
            <w:noWrap w:val="0"/>
            <w:tcMar>
              <w:left w:w="57" w:type="dxa"/>
              <w:right w:w="57" w:type="dxa"/>
            </w:tcMar>
            <w:vAlign w:val="center"/>
          </w:tcPr>
          <w:p w14:paraId="6DC19E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3.危及“三安全一稳定”</w:t>
            </w:r>
          </w:p>
        </w:tc>
        <w:tc>
          <w:tcPr>
            <w:tcW w:w="624" w:type="dxa"/>
            <w:noWrap w:val="0"/>
            <w:tcMar>
              <w:left w:w="57" w:type="dxa"/>
              <w:right w:w="57" w:type="dxa"/>
            </w:tcMar>
            <w:vAlign w:val="center"/>
          </w:tcPr>
          <w:p w14:paraId="4E4D11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287A8B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37972C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447622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72E90D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792B79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1EC569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61EA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2D3A835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4201A05D">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729" w:type="dxa"/>
            <w:noWrap w:val="0"/>
            <w:tcMar>
              <w:left w:w="57" w:type="dxa"/>
              <w:right w:w="57" w:type="dxa"/>
            </w:tcMar>
            <w:vAlign w:val="center"/>
          </w:tcPr>
          <w:p w14:paraId="5A03B6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4.保护第三方合法权益</w:t>
            </w:r>
          </w:p>
        </w:tc>
        <w:tc>
          <w:tcPr>
            <w:tcW w:w="624" w:type="dxa"/>
            <w:noWrap w:val="0"/>
            <w:tcMar>
              <w:left w:w="57" w:type="dxa"/>
              <w:right w:w="57" w:type="dxa"/>
            </w:tcMar>
            <w:vAlign w:val="center"/>
          </w:tcPr>
          <w:p w14:paraId="2731E8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35F198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1BF9EC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766D60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635CB3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33CB2C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710716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466B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77017CF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54A7119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729" w:type="dxa"/>
            <w:noWrap w:val="0"/>
            <w:tcMar>
              <w:left w:w="57" w:type="dxa"/>
              <w:right w:w="57" w:type="dxa"/>
            </w:tcMar>
            <w:vAlign w:val="center"/>
          </w:tcPr>
          <w:p w14:paraId="7FFEA7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5.属于三类内部事务信息</w:t>
            </w:r>
          </w:p>
        </w:tc>
        <w:tc>
          <w:tcPr>
            <w:tcW w:w="624" w:type="dxa"/>
            <w:noWrap w:val="0"/>
            <w:tcMar>
              <w:left w:w="57" w:type="dxa"/>
              <w:right w:w="57" w:type="dxa"/>
            </w:tcMar>
            <w:vAlign w:val="center"/>
          </w:tcPr>
          <w:p w14:paraId="0359CD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07DCB4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1BD769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48A35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1939E0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10A35E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188FAE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167B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02E6449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4004E9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729" w:type="dxa"/>
            <w:noWrap w:val="0"/>
            <w:tcMar>
              <w:left w:w="57" w:type="dxa"/>
              <w:right w:w="57" w:type="dxa"/>
            </w:tcMar>
            <w:vAlign w:val="center"/>
          </w:tcPr>
          <w:p w14:paraId="3E95BB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6.属于四类过程性信息</w:t>
            </w:r>
          </w:p>
        </w:tc>
        <w:tc>
          <w:tcPr>
            <w:tcW w:w="624" w:type="dxa"/>
            <w:noWrap w:val="0"/>
            <w:tcMar>
              <w:left w:w="57" w:type="dxa"/>
              <w:right w:w="57" w:type="dxa"/>
            </w:tcMar>
            <w:vAlign w:val="center"/>
          </w:tcPr>
          <w:p w14:paraId="7F7154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768D4D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76AE49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4CFDF9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083A2F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2F9F8D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AB38E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16C2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01BE945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4A8B88F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729" w:type="dxa"/>
            <w:noWrap w:val="0"/>
            <w:tcMar>
              <w:left w:w="57" w:type="dxa"/>
              <w:right w:w="57" w:type="dxa"/>
            </w:tcMar>
            <w:vAlign w:val="center"/>
          </w:tcPr>
          <w:p w14:paraId="0A8031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7.属于行政执法案卷</w:t>
            </w:r>
          </w:p>
        </w:tc>
        <w:tc>
          <w:tcPr>
            <w:tcW w:w="624" w:type="dxa"/>
            <w:noWrap w:val="0"/>
            <w:tcMar>
              <w:left w:w="57" w:type="dxa"/>
              <w:right w:w="57" w:type="dxa"/>
            </w:tcMar>
            <w:vAlign w:val="center"/>
          </w:tcPr>
          <w:p w14:paraId="42B569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49A0AF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0CDC59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3CD84A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C0C0A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1CA250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7B28C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5118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680E685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60524AD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729" w:type="dxa"/>
            <w:noWrap w:val="0"/>
            <w:tcMar>
              <w:left w:w="57" w:type="dxa"/>
              <w:right w:w="57" w:type="dxa"/>
            </w:tcMar>
            <w:vAlign w:val="center"/>
          </w:tcPr>
          <w:p w14:paraId="0D24BF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8.属于行政查询事项</w:t>
            </w:r>
          </w:p>
        </w:tc>
        <w:tc>
          <w:tcPr>
            <w:tcW w:w="624" w:type="dxa"/>
            <w:noWrap w:val="0"/>
            <w:tcMar>
              <w:left w:w="57" w:type="dxa"/>
              <w:right w:w="57" w:type="dxa"/>
            </w:tcMar>
            <w:vAlign w:val="center"/>
          </w:tcPr>
          <w:p w14:paraId="13DEE9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53DF7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23767D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4390C1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3F474F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EAF75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47B4A4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0420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65E6424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6ED9F9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（四）无法提供</w:t>
            </w:r>
          </w:p>
        </w:tc>
        <w:tc>
          <w:tcPr>
            <w:tcW w:w="2729" w:type="dxa"/>
            <w:noWrap w:val="0"/>
            <w:tcMar>
              <w:left w:w="57" w:type="dxa"/>
              <w:right w:w="57" w:type="dxa"/>
            </w:tcMar>
            <w:vAlign w:val="center"/>
          </w:tcPr>
          <w:p w14:paraId="41CA71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1.本机关不掌握相关政府信息</w:t>
            </w:r>
          </w:p>
        </w:tc>
        <w:tc>
          <w:tcPr>
            <w:tcW w:w="624" w:type="dxa"/>
            <w:noWrap w:val="0"/>
            <w:tcMar>
              <w:left w:w="57" w:type="dxa"/>
              <w:right w:w="57" w:type="dxa"/>
            </w:tcMar>
            <w:vAlign w:val="center"/>
          </w:tcPr>
          <w:p w14:paraId="7C1065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BC1C5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3B9CDE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487770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DB6B7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27CBBE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719EB2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58E6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07FDB82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6957773A">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729" w:type="dxa"/>
            <w:noWrap w:val="0"/>
            <w:tcMar>
              <w:left w:w="57" w:type="dxa"/>
              <w:right w:w="57" w:type="dxa"/>
            </w:tcMar>
            <w:vAlign w:val="center"/>
          </w:tcPr>
          <w:p w14:paraId="413D22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2.没有现成信息需要另行制作</w:t>
            </w:r>
          </w:p>
        </w:tc>
        <w:tc>
          <w:tcPr>
            <w:tcW w:w="624" w:type="dxa"/>
            <w:noWrap w:val="0"/>
            <w:tcMar>
              <w:left w:w="57" w:type="dxa"/>
              <w:right w:w="57" w:type="dxa"/>
            </w:tcMar>
            <w:vAlign w:val="center"/>
          </w:tcPr>
          <w:p w14:paraId="23F64E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6B6F3E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1E1F2E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4D7B9E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2180DA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29BFB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24807A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2E48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965" w:type="dxa"/>
            <w:vMerge w:val="continue"/>
            <w:noWrap w:val="0"/>
            <w:tcMar>
              <w:left w:w="57" w:type="dxa"/>
              <w:right w:w="57" w:type="dxa"/>
            </w:tcMar>
            <w:vAlign w:val="center"/>
          </w:tcPr>
          <w:p w14:paraId="62E0AB3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12E895F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729" w:type="dxa"/>
            <w:noWrap w:val="0"/>
            <w:tcMar>
              <w:left w:w="57" w:type="dxa"/>
              <w:right w:w="57" w:type="dxa"/>
            </w:tcMar>
            <w:vAlign w:val="center"/>
          </w:tcPr>
          <w:p w14:paraId="581ADA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3.补正后申请内容仍不明确</w:t>
            </w:r>
          </w:p>
        </w:tc>
        <w:tc>
          <w:tcPr>
            <w:tcW w:w="624" w:type="dxa"/>
            <w:noWrap w:val="0"/>
            <w:tcMar>
              <w:left w:w="57" w:type="dxa"/>
              <w:right w:w="57" w:type="dxa"/>
            </w:tcMar>
            <w:vAlign w:val="center"/>
          </w:tcPr>
          <w:p w14:paraId="72B680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445E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71691D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024AA7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4EECAC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3F9274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41F92C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649C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965" w:type="dxa"/>
            <w:vMerge w:val="continue"/>
            <w:noWrap w:val="0"/>
            <w:tcMar>
              <w:left w:w="57" w:type="dxa"/>
              <w:right w:w="57" w:type="dxa"/>
            </w:tcMar>
            <w:vAlign w:val="center"/>
          </w:tcPr>
          <w:p w14:paraId="0F6C306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5B65E8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（五）不予处理</w:t>
            </w:r>
          </w:p>
        </w:tc>
        <w:tc>
          <w:tcPr>
            <w:tcW w:w="2729" w:type="dxa"/>
            <w:noWrap w:val="0"/>
            <w:tcMar>
              <w:left w:w="57" w:type="dxa"/>
              <w:right w:w="57" w:type="dxa"/>
            </w:tcMar>
            <w:vAlign w:val="center"/>
          </w:tcPr>
          <w:p w14:paraId="347698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1.信访举报投诉类申请</w:t>
            </w:r>
          </w:p>
        </w:tc>
        <w:tc>
          <w:tcPr>
            <w:tcW w:w="624" w:type="dxa"/>
            <w:noWrap w:val="0"/>
            <w:tcMar>
              <w:left w:w="57" w:type="dxa"/>
              <w:right w:w="57" w:type="dxa"/>
            </w:tcMar>
            <w:vAlign w:val="center"/>
          </w:tcPr>
          <w:p w14:paraId="3E28BC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012FFD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106E19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4E9AD8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66C8C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2F1D08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140A30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20CD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965" w:type="dxa"/>
            <w:vMerge w:val="continue"/>
            <w:noWrap w:val="0"/>
            <w:tcMar>
              <w:left w:w="57" w:type="dxa"/>
              <w:right w:w="57" w:type="dxa"/>
            </w:tcMar>
            <w:vAlign w:val="center"/>
          </w:tcPr>
          <w:p w14:paraId="7839E5A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48FDB33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729" w:type="dxa"/>
            <w:noWrap w:val="0"/>
            <w:tcMar>
              <w:left w:w="57" w:type="dxa"/>
              <w:right w:w="57" w:type="dxa"/>
            </w:tcMar>
            <w:vAlign w:val="center"/>
          </w:tcPr>
          <w:p w14:paraId="7A4DB6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2.重复申请</w:t>
            </w:r>
          </w:p>
        </w:tc>
        <w:tc>
          <w:tcPr>
            <w:tcW w:w="624" w:type="dxa"/>
            <w:noWrap w:val="0"/>
            <w:tcMar>
              <w:left w:w="57" w:type="dxa"/>
              <w:right w:w="57" w:type="dxa"/>
            </w:tcMar>
            <w:vAlign w:val="center"/>
          </w:tcPr>
          <w:p w14:paraId="320B76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CD12B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E8F39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069729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192AD5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337F3F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0E1D23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348F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965" w:type="dxa"/>
            <w:vMerge w:val="continue"/>
            <w:noWrap w:val="0"/>
            <w:tcMar>
              <w:left w:w="57" w:type="dxa"/>
              <w:right w:w="57" w:type="dxa"/>
            </w:tcMar>
            <w:vAlign w:val="center"/>
          </w:tcPr>
          <w:p w14:paraId="7900433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7E8BE3F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729" w:type="dxa"/>
            <w:noWrap w:val="0"/>
            <w:tcMar>
              <w:left w:w="57" w:type="dxa"/>
              <w:right w:w="57" w:type="dxa"/>
            </w:tcMar>
            <w:vAlign w:val="center"/>
          </w:tcPr>
          <w:p w14:paraId="1074CB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3.要求提供公开出版物</w:t>
            </w:r>
          </w:p>
        </w:tc>
        <w:tc>
          <w:tcPr>
            <w:tcW w:w="624" w:type="dxa"/>
            <w:noWrap w:val="0"/>
            <w:tcMar>
              <w:left w:w="57" w:type="dxa"/>
              <w:right w:w="57" w:type="dxa"/>
            </w:tcMar>
            <w:vAlign w:val="center"/>
          </w:tcPr>
          <w:p w14:paraId="7E0BFE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70A921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083AF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0BF6F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37D4B0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7A6C71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62BA34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5F0C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965" w:type="dxa"/>
            <w:vMerge w:val="continue"/>
            <w:noWrap w:val="0"/>
            <w:tcMar>
              <w:left w:w="57" w:type="dxa"/>
              <w:right w:w="57" w:type="dxa"/>
            </w:tcMar>
            <w:vAlign w:val="center"/>
          </w:tcPr>
          <w:p w14:paraId="64ADBE6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5FC8E127">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729" w:type="dxa"/>
            <w:noWrap w:val="0"/>
            <w:tcMar>
              <w:left w:w="57" w:type="dxa"/>
              <w:right w:w="57" w:type="dxa"/>
            </w:tcMar>
            <w:vAlign w:val="center"/>
          </w:tcPr>
          <w:p w14:paraId="708BD9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4.无正当理由大量反复申请</w:t>
            </w:r>
          </w:p>
        </w:tc>
        <w:tc>
          <w:tcPr>
            <w:tcW w:w="624" w:type="dxa"/>
            <w:noWrap w:val="0"/>
            <w:tcMar>
              <w:left w:w="57" w:type="dxa"/>
              <w:right w:w="57" w:type="dxa"/>
            </w:tcMar>
            <w:vAlign w:val="center"/>
          </w:tcPr>
          <w:p w14:paraId="2F4B22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1D92D7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30977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7C7150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1D61E2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4B07AF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096854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6DE3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965" w:type="dxa"/>
            <w:vMerge w:val="continue"/>
            <w:noWrap w:val="0"/>
            <w:tcMar>
              <w:left w:w="57" w:type="dxa"/>
              <w:right w:w="57" w:type="dxa"/>
            </w:tcMar>
            <w:vAlign w:val="center"/>
          </w:tcPr>
          <w:p w14:paraId="4D4A0A5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64F81BA4">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729" w:type="dxa"/>
            <w:noWrap w:val="0"/>
            <w:tcMar>
              <w:left w:w="57" w:type="dxa"/>
              <w:right w:w="57" w:type="dxa"/>
            </w:tcMar>
            <w:vAlign w:val="center"/>
          </w:tcPr>
          <w:p w14:paraId="1C19DA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5.要求行政机关确认或重新出具已获取信息</w:t>
            </w:r>
          </w:p>
        </w:tc>
        <w:tc>
          <w:tcPr>
            <w:tcW w:w="624" w:type="dxa"/>
            <w:noWrap w:val="0"/>
            <w:tcMar>
              <w:left w:w="57" w:type="dxa"/>
              <w:right w:w="57" w:type="dxa"/>
            </w:tcMar>
            <w:vAlign w:val="center"/>
          </w:tcPr>
          <w:p w14:paraId="092974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355F46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37401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6F7548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4024E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6D995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456128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34F0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965" w:type="dxa"/>
            <w:vMerge w:val="continue"/>
            <w:noWrap w:val="0"/>
            <w:tcMar>
              <w:left w:w="57" w:type="dxa"/>
              <w:right w:w="57" w:type="dxa"/>
            </w:tcMar>
            <w:vAlign w:val="center"/>
          </w:tcPr>
          <w:p w14:paraId="665F1482">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7BEFAC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（六）其他处理</w:t>
            </w:r>
          </w:p>
        </w:tc>
        <w:tc>
          <w:tcPr>
            <w:tcW w:w="2729" w:type="dxa"/>
            <w:noWrap w:val="0"/>
            <w:tcMar>
              <w:left w:w="57" w:type="dxa"/>
              <w:right w:w="57" w:type="dxa"/>
            </w:tcMar>
            <w:vAlign w:val="center"/>
          </w:tcPr>
          <w:p w14:paraId="26D59B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1.申请人无正当理由逾期不补正、行政机关不再处理其政府信息公开申请</w:t>
            </w:r>
          </w:p>
        </w:tc>
        <w:tc>
          <w:tcPr>
            <w:tcW w:w="624" w:type="dxa"/>
            <w:noWrap w:val="0"/>
            <w:tcMar>
              <w:left w:w="57" w:type="dxa"/>
              <w:right w:w="57" w:type="dxa"/>
            </w:tcMar>
            <w:vAlign w:val="center"/>
          </w:tcPr>
          <w:p w14:paraId="078010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02DFB3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41138F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203B91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7A45D0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371D41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4931ED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47EB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109FE6BD">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5CA4492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729" w:type="dxa"/>
            <w:noWrap w:val="0"/>
            <w:tcMar>
              <w:left w:w="57" w:type="dxa"/>
              <w:right w:w="57" w:type="dxa"/>
            </w:tcMar>
            <w:vAlign w:val="center"/>
          </w:tcPr>
          <w:p w14:paraId="4A1D12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2.申请人逾期未按收费通知要求缴纳费用、行政机关不再处理其政府信息公开申请</w:t>
            </w:r>
          </w:p>
        </w:tc>
        <w:tc>
          <w:tcPr>
            <w:tcW w:w="624" w:type="dxa"/>
            <w:noWrap w:val="0"/>
            <w:tcMar>
              <w:left w:w="57" w:type="dxa"/>
              <w:right w:w="57" w:type="dxa"/>
            </w:tcMar>
            <w:vAlign w:val="center"/>
          </w:tcPr>
          <w:p w14:paraId="22C571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245696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299A57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4464BE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093188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7F38A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63EFD8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7B1B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965" w:type="dxa"/>
            <w:vMerge w:val="continue"/>
            <w:noWrap w:val="0"/>
            <w:tcMar>
              <w:left w:w="57" w:type="dxa"/>
              <w:right w:w="57" w:type="dxa"/>
            </w:tcMar>
            <w:vAlign w:val="center"/>
          </w:tcPr>
          <w:p w14:paraId="5A179E2A">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3AEB2F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729" w:type="dxa"/>
            <w:noWrap w:val="0"/>
            <w:tcMar>
              <w:left w:w="57" w:type="dxa"/>
              <w:right w:w="57" w:type="dxa"/>
            </w:tcMar>
            <w:vAlign w:val="center"/>
          </w:tcPr>
          <w:p w14:paraId="7A852D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3.其他</w:t>
            </w:r>
          </w:p>
        </w:tc>
        <w:tc>
          <w:tcPr>
            <w:tcW w:w="624" w:type="dxa"/>
            <w:noWrap w:val="0"/>
            <w:tcMar>
              <w:left w:w="57" w:type="dxa"/>
              <w:right w:w="57" w:type="dxa"/>
            </w:tcMar>
            <w:vAlign w:val="center"/>
          </w:tcPr>
          <w:p w14:paraId="5A4300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0B76B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042F75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7E373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7B537C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362045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2AD240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1076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965" w:type="dxa"/>
            <w:vMerge w:val="continue"/>
            <w:noWrap w:val="0"/>
            <w:tcMar>
              <w:left w:w="57" w:type="dxa"/>
              <w:right w:w="57" w:type="dxa"/>
            </w:tcMar>
            <w:vAlign w:val="center"/>
          </w:tcPr>
          <w:p w14:paraId="6013B7D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3356" w:type="dxa"/>
            <w:gridSpan w:val="2"/>
            <w:noWrap w:val="0"/>
            <w:tcMar>
              <w:left w:w="57" w:type="dxa"/>
              <w:right w:w="57" w:type="dxa"/>
            </w:tcMar>
            <w:vAlign w:val="center"/>
          </w:tcPr>
          <w:p w14:paraId="14A7A3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（七）总计</w:t>
            </w:r>
          </w:p>
        </w:tc>
        <w:tc>
          <w:tcPr>
            <w:tcW w:w="624" w:type="dxa"/>
            <w:noWrap w:val="0"/>
            <w:tcMar>
              <w:left w:w="57" w:type="dxa"/>
              <w:right w:w="57" w:type="dxa"/>
            </w:tcMar>
            <w:vAlign w:val="center"/>
          </w:tcPr>
          <w:p w14:paraId="1E17F2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7EA895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1792BD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69039C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3A49B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F6479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2B96C7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1D2E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4321" w:type="dxa"/>
            <w:gridSpan w:val="3"/>
            <w:noWrap w:val="0"/>
            <w:tcMar>
              <w:left w:w="57" w:type="dxa"/>
              <w:right w:w="57" w:type="dxa"/>
            </w:tcMar>
            <w:vAlign w:val="center"/>
          </w:tcPr>
          <w:p w14:paraId="2E47FC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四、结转下年度继续办理</w:t>
            </w:r>
          </w:p>
        </w:tc>
        <w:tc>
          <w:tcPr>
            <w:tcW w:w="624" w:type="dxa"/>
            <w:noWrap w:val="0"/>
            <w:tcMar>
              <w:left w:w="57" w:type="dxa"/>
              <w:right w:w="57" w:type="dxa"/>
            </w:tcMar>
            <w:vAlign w:val="center"/>
          </w:tcPr>
          <w:p w14:paraId="2D7404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3029C1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AC704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243163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075674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6C6B66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24" w:type="dxa"/>
            <w:noWrap w:val="0"/>
            <w:tcMar>
              <w:left w:w="57" w:type="dxa"/>
              <w:right w:w="57" w:type="dxa"/>
            </w:tcMar>
            <w:vAlign w:val="center"/>
          </w:tcPr>
          <w:p w14:paraId="571649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sz w:val="24"/>
                <w:szCs w:val="24"/>
              </w:rPr>
            </w:pPr>
            <w:r>
              <w:rPr>
                <w:rFonts w:hint="eastAsia" w:ascii="Times New Roman" w:hAnsi="Times New Roman"/>
                <w:lang w:val="en-US" w:eastAsia="zh-CN"/>
              </w:rPr>
              <w:t>0</w:t>
            </w:r>
          </w:p>
        </w:tc>
      </w:tr>
    </w:tbl>
    <w:p w14:paraId="78D8BF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Times New Roman" w:hAnsi="Times New Roman" w:eastAsia="宋体" w:cs="宋体"/>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四、政府信息公开行政复议、行政诉讼情况</w:t>
      </w:r>
    </w:p>
    <w:tbl>
      <w:tblPr>
        <w:tblStyle w:val="7"/>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5"/>
        <w:gridCol w:w="595"/>
        <w:gridCol w:w="595"/>
        <w:gridCol w:w="595"/>
        <w:gridCol w:w="595"/>
        <w:gridCol w:w="578"/>
        <w:gridCol w:w="578"/>
        <w:gridCol w:w="578"/>
        <w:gridCol w:w="578"/>
        <w:gridCol w:w="578"/>
        <w:gridCol w:w="578"/>
        <w:gridCol w:w="578"/>
        <w:gridCol w:w="578"/>
        <w:gridCol w:w="578"/>
        <w:gridCol w:w="578"/>
      </w:tblGrid>
      <w:tr w14:paraId="3129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975" w:type="dxa"/>
            <w:gridSpan w:val="5"/>
            <w:shd w:val="clear" w:color="auto" w:fill="FFFFFF"/>
            <w:noWrap w:val="0"/>
            <w:tcMar>
              <w:left w:w="108" w:type="dxa"/>
              <w:right w:w="108" w:type="dxa"/>
            </w:tcMar>
            <w:vAlign w:val="center"/>
          </w:tcPr>
          <w:p w14:paraId="62B90C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黑体" w:hAnsi="黑体" w:eastAsia="黑体" w:cs="黑体"/>
                <w:color w:val="000000"/>
              </w:rPr>
            </w:pPr>
            <w:r>
              <w:rPr>
                <w:rFonts w:hint="eastAsia" w:ascii="黑体" w:hAnsi="黑体" w:eastAsia="黑体" w:cs="黑体"/>
                <w:color w:val="000000"/>
                <w:kern w:val="0"/>
                <w:sz w:val="20"/>
                <w:szCs w:val="20"/>
                <w:lang w:val="en-US" w:eastAsia="zh-CN" w:bidi="ar"/>
              </w:rPr>
              <w:t>行政复议</w:t>
            </w:r>
          </w:p>
        </w:tc>
        <w:tc>
          <w:tcPr>
            <w:tcW w:w="5780" w:type="dxa"/>
            <w:gridSpan w:val="10"/>
            <w:shd w:val="clear" w:color="auto" w:fill="FFFFFF"/>
            <w:noWrap w:val="0"/>
            <w:tcMar>
              <w:left w:w="108" w:type="dxa"/>
              <w:right w:w="108" w:type="dxa"/>
            </w:tcMar>
            <w:vAlign w:val="center"/>
          </w:tcPr>
          <w:p w14:paraId="1F12FD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黑体" w:hAnsi="黑体" w:eastAsia="黑体" w:cs="黑体"/>
                <w:color w:val="000000"/>
              </w:rPr>
            </w:pPr>
            <w:r>
              <w:rPr>
                <w:rFonts w:hint="eastAsia" w:ascii="黑体" w:hAnsi="黑体" w:eastAsia="黑体" w:cs="黑体"/>
                <w:color w:val="000000"/>
                <w:kern w:val="0"/>
                <w:sz w:val="20"/>
                <w:szCs w:val="20"/>
                <w:lang w:val="en-US" w:eastAsia="zh-CN" w:bidi="ar"/>
              </w:rPr>
              <w:t>行政诉讼</w:t>
            </w:r>
          </w:p>
        </w:tc>
      </w:tr>
      <w:tr w14:paraId="3D00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95" w:type="dxa"/>
            <w:vMerge w:val="restart"/>
            <w:shd w:val="clear" w:color="auto" w:fill="FFFFFF"/>
            <w:noWrap w:val="0"/>
            <w:tcMar>
              <w:left w:w="108" w:type="dxa"/>
              <w:right w:w="108" w:type="dxa"/>
            </w:tcMar>
            <w:vAlign w:val="center"/>
          </w:tcPr>
          <w:p w14:paraId="622411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结果维持</w:t>
            </w:r>
          </w:p>
        </w:tc>
        <w:tc>
          <w:tcPr>
            <w:tcW w:w="595" w:type="dxa"/>
            <w:vMerge w:val="restart"/>
            <w:shd w:val="clear" w:color="auto" w:fill="FFFFFF"/>
            <w:noWrap w:val="0"/>
            <w:tcMar>
              <w:left w:w="108" w:type="dxa"/>
              <w:right w:w="108" w:type="dxa"/>
            </w:tcMar>
            <w:vAlign w:val="center"/>
          </w:tcPr>
          <w:p w14:paraId="4891BA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结果</w:t>
            </w:r>
          </w:p>
          <w:p w14:paraId="7CE973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纠正</w:t>
            </w:r>
          </w:p>
        </w:tc>
        <w:tc>
          <w:tcPr>
            <w:tcW w:w="595" w:type="dxa"/>
            <w:vMerge w:val="restart"/>
            <w:shd w:val="clear" w:color="auto" w:fill="FFFFFF"/>
            <w:noWrap w:val="0"/>
            <w:tcMar>
              <w:left w:w="108" w:type="dxa"/>
              <w:right w:w="108" w:type="dxa"/>
            </w:tcMar>
            <w:vAlign w:val="center"/>
          </w:tcPr>
          <w:p w14:paraId="0B6943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其他</w:t>
            </w:r>
          </w:p>
          <w:p w14:paraId="02743D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w:t>
            </w:r>
          </w:p>
        </w:tc>
        <w:tc>
          <w:tcPr>
            <w:tcW w:w="595" w:type="dxa"/>
            <w:vMerge w:val="restart"/>
            <w:shd w:val="clear" w:color="auto" w:fill="FFFFFF"/>
            <w:noWrap w:val="0"/>
            <w:tcMar>
              <w:left w:w="108" w:type="dxa"/>
              <w:right w:w="108" w:type="dxa"/>
            </w:tcMar>
            <w:vAlign w:val="center"/>
          </w:tcPr>
          <w:p w14:paraId="384C1A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尚未</w:t>
            </w:r>
          </w:p>
          <w:p w14:paraId="7A0CD9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审结</w:t>
            </w:r>
          </w:p>
        </w:tc>
        <w:tc>
          <w:tcPr>
            <w:tcW w:w="595" w:type="dxa"/>
            <w:vMerge w:val="restart"/>
            <w:shd w:val="clear" w:color="auto" w:fill="FFFFFF"/>
            <w:noWrap w:val="0"/>
            <w:tcMar>
              <w:left w:w="108" w:type="dxa"/>
              <w:right w:w="108" w:type="dxa"/>
            </w:tcMar>
            <w:vAlign w:val="center"/>
          </w:tcPr>
          <w:p w14:paraId="7DD8B0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总计</w:t>
            </w:r>
          </w:p>
        </w:tc>
        <w:tc>
          <w:tcPr>
            <w:tcW w:w="2890" w:type="dxa"/>
            <w:gridSpan w:val="5"/>
            <w:shd w:val="clear" w:color="auto" w:fill="FFFFFF"/>
            <w:noWrap w:val="0"/>
            <w:tcMar>
              <w:left w:w="108" w:type="dxa"/>
              <w:right w:w="108" w:type="dxa"/>
            </w:tcMar>
            <w:vAlign w:val="center"/>
          </w:tcPr>
          <w:p w14:paraId="71A418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未经复议直接起诉</w:t>
            </w:r>
          </w:p>
        </w:tc>
        <w:tc>
          <w:tcPr>
            <w:tcW w:w="2890" w:type="dxa"/>
            <w:gridSpan w:val="5"/>
            <w:shd w:val="clear" w:color="auto" w:fill="FFFFFF"/>
            <w:noWrap w:val="0"/>
            <w:tcMar>
              <w:left w:w="108" w:type="dxa"/>
              <w:right w:w="108" w:type="dxa"/>
            </w:tcMar>
            <w:vAlign w:val="center"/>
          </w:tcPr>
          <w:p w14:paraId="2B9AD7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复议后起诉</w:t>
            </w:r>
          </w:p>
        </w:tc>
      </w:tr>
      <w:tr w14:paraId="7809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95" w:type="dxa"/>
            <w:vMerge w:val="continue"/>
            <w:shd w:val="clear" w:color="auto" w:fill="FFFFFF"/>
            <w:noWrap w:val="0"/>
            <w:tcMar>
              <w:left w:w="108" w:type="dxa"/>
              <w:right w:w="108" w:type="dxa"/>
            </w:tcMar>
            <w:vAlign w:val="center"/>
          </w:tcPr>
          <w:p w14:paraId="7051747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000000"/>
                <w:sz w:val="24"/>
                <w:szCs w:val="24"/>
              </w:rPr>
            </w:pPr>
          </w:p>
        </w:tc>
        <w:tc>
          <w:tcPr>
            <w:tcW w:w="595" w:type="dxa"/>
            <w:vMerge w:val="continue"/>
            <w:shd w:val="clear" w:color="auto" w:fill="FFFFFF"/>
            <w:noWrap w:val="0"/>
            <w:tcMar>
              <w:left w:w="108" w:type="dxa"/>
              <w:right w:w="108" w:type="dxa"/>
            </w:tcMar>
            <w:vAlign w:val="center"/>
          </w:tcPr>
          <w:p w14:paraId="0E1D2A0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000000"/>
                <w:sz w:val="24"/>
                <w:szCs w:val="24"/>
              </w:rPr>
            </w:pPr>
          </w:p>
        </w:tc>
        <w:tc>
          <w:tcPr>
            <w:tcW w:w="595" w:type="dxa"/>
            <w:vMerge w:val="continue"/>
            <w:shd w:val="clear" w:color="auto" w:fill="FFFFFF"/>
            <w:noWrap w:val="0"/>
            <w:tcMar>
              <w:left w:w="108" w:type="dxa"/>
              <w:right w:w="108" w:type="dxa"/>
            </w:tcMar>
            <w:vAlign w:val="center"/>
          </w:tcPr>
          <w:p w14:paraId="42139C2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000000"/>
                <w:sz w:val="24"/>
                <w:szCs w:val="24"/>
              </w:rPr>
            </w:pPr>
          </w:p>
        </w:tc>
        <w:tc>
          <w:tcPr>
            <w:tcW w:w="595" w:type="dxa"/>
            <w:vMerge w:val="continue"/>
            <w:shd w:val="clear" w:color="auto" w:fill="FFFFFF"/>
            <w:noWrap w:val="0"/>
            <w:tcMar>
              <w:left w:w="108" w:type="dxa"/>
              <w:right w:w="108" w:type="dxa"/>
            </w:tcMar>
            <w:vAlign w:val="center"/>
          </w:tcPr>
          <w:p w14:paraId="130B6BC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000000"/>
                <w:sz w:val="24"/>
                <w:szCs w:val="24"/>
              </w:rPr>
            </w:pPr>
          </w:p>
        </w:tc>
        <w:tc>
          <w:tcPr>
            <w:tcW w:w="595" w:type="dxa"/>
            <w:vMerge w:val="continue"/>
            <w:shd w:val="clear" w:color="auto" w:fill="FFFFFF"/>
            <w:noWrap w:val="0"/>
            <w:tcMar>
              <w:left w:w="108" w:type="dxa"/>
              <w:right w:w="108" w:type="dxa"/>
            </w:tcMar>
            <w:vAlign w:val="center"/>
          </w:tcPr>
          <w:p w14:paraId="1281685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000000"/>
                <w:sz w:val="24"/>
                <w:szCs w:val="24"/>
              </w:rPr>
            </w:pPr>
          </w:p>
        </w:tc>
        <w:tc>
          <w:tcPr>
            <w:tcW w:w="578" w:type="dxa"/>
            <w:shd w:val="clear" w:color="auto" w:fill="FFFFFF"/>
            <w:noWrap w:val="0"/>
            <w:tcMar>
              <w:left w:w="108" w:type="dxa"/>
              <w:right w:w="108" w:type="dxa"/>
            </w:tcMar>
            <w:vAlign w:val="center"/>
          </w:tcPr>
          <w:p w14:paraId="344B9C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结果</w:t>
            </w:r>
          </w:p>
          <w:p w14:paraId="160808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维持</w:t>
            </w:r>
          </w:p>
        </w:tc>
        <w:tc>
          <w:tcPr>
            <w:tcW w:w="578" w:type="dxa"/>
            <w:shd w:val="clear" w:color="auto" w:fill="FFFFFF"/>
            <w:noWrap w:val="0"/>
            <w:tcMar>
              <w:left w:w="108" w:type="dxa"/>
              <w:right w:w="108" w:type="dxa"/>
            </w:tcMar>
            <w:vAlign w:val="center"/>
          </w:tcPr>
          <w:p w14:paraId="325E6C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结果</w:t>
            </w:r>
          </w:p>
          <w:p w14:paraId="4C418E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纠正</w:t>
            </w:r>
          </w:p>
        </w:tc>
        <w:tc>
          <w:tcPr>
            <w:tcW w:w="578" w:type="dxa"/>
            <w:shd w:val="clear" w:color="auto" w:fill="FFFFFF"/>
            <w:noWrap w:val="0"/>
            <w:tcMar>
              <w:left w:w="108" w:type="dxa"/>
              <w:right w:w="108" w:type="dxa"/>
            </w:tcMar>
            <w:vAlign w:val="center"/>
          </w:tcPr>
          <w:p w14:paraId="23554D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其他</w:t>
            </w:r>
          </w:p>
          <w:p w14:paraId="7A9C76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w:t>
            </w:r>
          </w:p>
        </w:tc>
        <w:tc>
          <w:tcPr>
            <w:tcW w:w="578" w:type="dxa"/>
            <w:shd w:val="clear" w:color="auto" w:fill="FFFFFF"/>
            <w:noWrap w:val="0"/>
            <w:tcMar>
              <w:left w:w="108" w:type="dxa"/>
              <w:right w:w="108" w:type="dxa"/>
            </w:tcMar>
            <w:vAlign w:val="center"/>
          </w:tcPr>
          <w:p w14:paraId="23F41B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尚未</w:t>
            </w:r>
          </w:p>
          <w:p w14:paraId="40536F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审结</w:t>
            </w:r>
          </w:p>
        </w:tc>
        <w:tc>
          <w:tcPr>
            <w:tcW w:w="578" w:type="dxa"/>
            <w:shd w:val="clear" w:color="auto" w:fill="FFFFFF"/>
            <w:noWrap w:val="0"/>
            <w:tcMar>
              <w:left w:w="108" w:type="dxa"/>
              <w:right w:w="108" w:type="dxa"/>
            </w:tcMar>
            <w:vAlign w:val="center"/>
          </w:tcPr>
          <w:p w14:paraId="62832A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总计</w:t>
            </w:r>
          </w:p>
        </w:tc>
        <w:tc>
          <w:tcPr>
            <w:tcW w:w="578" w:type="dxa"/>
            <w:shd w:val="clear" w:color="auto" w:fill="FFFFFF"/>
            <w:noWrap w:val="0"/>
            <w:tcMar>
              <w:left w:w="108" w:type="dxa"/>
              <w:right w:w="108" w:type="dxa"/>
            </w:tcMar>
            <w:vAlign w:val="center"/>
          </w:tcPr>
          <w:p w14:paraId="388C91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结果</w:t>
            </w:r>
          </w:p>
          <w:p w14:paraId="4D32C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维持</w:t>
            </w:r>
          </w:p>
        </w:tc>
        <w:tc>
          <w:tcPr>
            <w:tcW w:w="578" w:type="dxa"/>
            <w:shd w:val="clear" w:color="auto" w:fill="FFFFFF"/>
            <w:noWrap w:val="0"/>
            <w:tcMar>
              <w:left w:w="108" w:type="dxa"/>
              <w:right w:w="108" w:type="dxa"/>
            </w:tcMar>
            <w:vAlign w:val="center"/>
          </w:tcPr>
          <w:p w14:paraId="247839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结果</w:t>
            </w:r>
          </w:p>
          <w:p w14:paraId="753619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纠正</w:t>
            </w:r>
          </w:p>
        </w:tc>
        <w:tc>
          <w:tcPr>
            <w:tcW w:w="578" w:type="dxa"/>
            <w:shd w:val="clear" w:color="auto" w:fill="FFFFFF"/>
            <w:noWrap w:val="0"/>
            <w:tcMar>
              <w:left w:w="108" w:type="dxa"/>
              <w:right w:w="108" w:type="dxa"/>
            </w:tcMar>
            <w:vAlign w:val="center"/>
          </w:tcPr>
          <w:p w14:paraId="0FCA1A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其他</w:t>
            </w:r>
          </w:p>
          <w:p w14:paraId="0C3599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w:t>
            </w:r>
          </w:p>
        </w:tc>
        <w:tc>
          <w:tcPr>
            <w:tcW w:w="578" w:type="dxa"/>
            <w:shd w:val="clear" w:color="auto" w:fill="FFFFFF"/>
            <w:noWrap w:val="0"/>
            <w:tcMar>
              <w:left w:w="108" w:type="dxa"/>
              <w:right w:w="108" w:type="dxa"/>
            </w:tcMar>
            <w:vAlign w:val="center"/>
          </w:tcPr>
          <w:p w14:paraId="550C68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尚未</w:t>
            </w:r>
          </w:p>
          <w:p w14:paraId="425974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审结</w:t>
            </w:r>
          </w:p>
        </w:tc>
        <w:tc>
          <w:tcPr>
            <w:tcW w:w="578" w:type="dxa"/>
            <w:shd w:val="clear" w:color="auto" w:fill="FFFFFF"/>
            <w:noWrap w:val="0"/>
            <w:tcMar>
              <w:left w:w="108" w:type="dxa"/>
              <w:right w:w="108" w:type="dxa"/>
            </w:tcMar>
            <w:vAlign w:val="center"/>
          </w:tcPr>
          <w:p w14:paraId="1DA52C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总计</w:t>
            </w:r>
          </w:p>
        </w:tc>
      </w:tr>
      <w:tr w14:paraId="5135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95" w:type="dxa"/>
            <w:shd w:val="clear" w:color="auto" w:fill="FFFFFF"/>
            <w:noWrap w:val="0"/>
            <w:tcMar>
              <w:left w:w="108" w:type="dxa"/>
              <w:right w:w="108" w:type="dxa"/>
            </w:tcMar>
            <w:vAlign w:val="center"/>
          </w:tcPr>
          <w:p w14:paraId="756EBC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lang w:val="en-US"/>
              </w:rPr>
            </w:pPr>
            <w:r>
              <w:rPr>
                <w:rFonts w:ascii="Times New Roman" w:hAnsi="Times New Roman" w:eastAsia="黑体" w:cs="黑体"/>
                <w:color w:val="000000"/>
                <w:kern w:val="0"/>
                <w:sz w:val="20"/>
                <w:szCs w:val="20"/>
                <w:lang w:val="en-US" w:eastAsia="zh-CN" w:bidi="ar"/>
              </w:rPr>
              <w:t> </w:t>
            </w:r>
            <w:r>
              <w:rPr>
                <w:rFonts w:hint="eastAsia" w:ascii="Times New Roman" w:hAnsi="Times New Roman" w:eastAsia="黑体" w:cs="黑体"/>
                <w:color w:val="000000"/>
                <w:kern w:val="0"/>
                <w:sz w:val="20"/>
                <w:szCs w:val="20"/>
                <w:lang w:val="en-US" w:eastAsia="zh-CN" w:bidi="ar"/>
              </w:rPr>
              <w:t>0</w:t>
            </w:r>
          </w:p>
        </w:tc>
        <w:tc>
          <w:tcPr>
            <w:tcW w:w="595" w:type="dxa"/>
            <w:shd w:val="clear" w:color="auto" w:fill="FFFFFF"/>
            <w:noWrap w:val="0"/>
            <w:tcMar>
              <w:left w:w="108" w:type="dxa"/>
              <w:right w:w="108" w:type="dxa"/>
            </w:tcMar>
            <w:vAlign w:val="center"/>
          </w:tcPr>
          <w:p w14:paraId="484A5A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lang w:val="en-US"/>
              </w:rPr>
            </w:pPr>
            <w:r>
              <w:rPr>
                <w:rFonts w:hint="eastAsia" w:ascii="Times New Roman" w:hAnsi="Times New Roman" w:eastAsia="黑体" w:cs="黑体"/>
                <w:color w:val="000000"/>
                <w:kern w:val="0"/>
                <w:sz w:val="20"/>
                <w:szCs w:val="20"/>
                <w:lang w:val="en-US" w:eastAsia="zh-CN" w:bidi="ar"/>
              </w:rPr>
              <w:t> 0</w:t>
            </w:r>
          </w:p>
        </w:tc>
        <w:tc>
          <w:tcPr>
            <w:tcW w:w="595" w:type="dxa"/>
            <w:shd w:val="clear" w:color="auto" w:fill="FFFFFF"/>
            <w:noWrap w:val="0"/>
            <w:tcMar>
              <w:left w:w="108" w:type="dxa"/>
              <w:right w:w="108" w:type="dxa"/>
            </w:tcMar>
            <w:vAlign w:val="center"/>
          </w:tcPr>
          <w:p w14:paraId="3D9318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lang w:val="en-US"/>
              </w:rPr>
            </w:pPr>
            <w:r>
              <w:rPr>
                <w:rFonts w:hint="eastAsia" w:ascii="Times New Roman" w:hAnsi="Times New Roman" w:eastAsia="黑体" w:cs="黑体"/>
                <w:color w:val="000000"/>
                <w:kern w:val="0"/>
                <w:sz w:val="20"/>
                <w:szCs w:val="20"/>
                <w:lang w:val="en-US" w:eastAsia="zh-CN" w:bidi="ar"/>
              </w:rPr>
              <w:t> 0</w:t>
            </w:r>
          </w:p>
        </w:tc>
        <w:tc>
          <w:tcPr>
            <w:tcW w:w="595" w:type="dxa"/>
            <w:shd w:val="clear" w:color="auto" w:fill="FFFFFF"/>
            <w:noWrap w:val="0"/>
            <w:tcMar>
              <w:left w:w="108" w:type="dxa"/>
              <w:right w:w="108" w:type="dxa"/>
            </w:tcMar>
            <w:vAlign w:val="center"/>
          </w:tcPr>
          <w:p w14:paraId="665EA0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lang w:val="en-US"/>
              </w:rPr>
            </w:pPr>
            <w:r>
              <w:rPr>
                <w:rFonts w:hint="eastAsia" w:ascii="Times New Roman" w:hAnsi="Times New Roman" w:eastAsia="黑体" w:cs="黑体"/>
                <w:color w:val="000000"/>
                <w:kern w:val="0"/>
                <w:sz w:val="20"/>
                <w:szCs w:val="20"/>
                <w:lang w:val="en-US" w:eastAsia="zh-CN" w:bidi="ar"/>
              </w:rPr>
              <w:t> 0</w:t>
            </w:r>
          </w:p>
        </w:tc>
        <w:tc>
          <w:tcPr>
            <w:tcW w:w="595" w:type="dxa"/>
            <w:shd w:val="clear" w:color="auto" w:fill="FFFFFF"/>
            <w:noWrap w:val="0"/>
            <w:tcMar>
              <w:left w:w="108" w:type="dxa"/>
              <w:right w:w="108" w:type="dxa"/>
            </w:tcMar>
            <w:vAlign w:val="center"/>
          </w:tcPr>
          <w:p w14:paraId="336D4B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lang w:val="en-US"/>
              </w:rPr>
            </w:pPr>
            <w:r>
              <w:rPr>
                <w:rFonts w:hint="eastAsia" w:ascii="Times New Roman" w:hAnsi="Times New Roman" w:eastAsia="黑体" w:cs="黑体"/>
                <w:color w:val="000000"/>
                <w:kern w:val="0"/>
                <w:sz w:val="20"/>
                <w:szCs w:val="20"/>
                <w:lang w:val="en-US" w:eastAsia="zh-CN" w:bidi="ar"/>
              </w:rPr>
              <w:t> 0</w:t>
            </w:r>
          </w:p>
        </w:tc>
        <w:tc>
          <w:tcPr>
            <w:tcW w:w="578" w:type="dxa"/>
            <w:shd w:val="clear" w:color="auto" w:fill="FFFFFF"/>
            <w:noWrap w:val="0"/>
            <w:tcMar>
              <w:left w:w="108" w:type="dxa"/>
              <w:right w:w="108" w:type="dxa"/>
            </w:tcMar>
            <w:vAlign w:val="center"/>
          </w:tcPr>
          <w:p w14:paraId="0C7E33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lang w:val="en-US"/>
              </w:rPr>
            </w:pPr>
            <w:r>
              <w:rPr>
                <w:rFonts w:hint="eastAsia" w:ascii="Times New Roman" w:hAnsi="Times New Roman" w:eastAsia="黑体" w:cs="黑体"/>
                <w:color w:val="000000"/>
                <w:kern w:val="0"/>
                <w:sz w:val="20"/>
                <w:szCs w:val="20"/>
                <w:lang w:val="en-US" w:eastAsia="zh-CN" w:bidi="ar"/>
              </w:rPr>
              <w:t> 0</w:t>
            </w:r>
          </w:p>
        </w:tc>
        <w:tc>
          <w:tcPr>
            <w:tcW w:w="578" w:type="dxa"/>
            <w:shd w:val="clear" w:color="auto" w:fill="FFFFFF"/>
            <w:noWrap w:val="0"/>
            <w:tcMar>
              <w:left w:w="108" w:type="dxa"/>
              <w:right w:w="108" w:type="dxa"/>
            </w:tcMar>
            <w:vAlign w:val="center"/>
          </w:tcPr>
          <w:p w14:paraId="78B8E3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lang w:val="en-US"/>
              </w:rPr>
            </w:pPr>
            <w:r>
              <w:rPr>
                <w:rFonts w:hint="eastAsia" w:ascii="Times New Roman" w:hAnsi="Times New Roman" w:eastAsia="黑体" w:cs="黑体"/>
                <w:color w:val="000000"/>
                <w:kern w:val="0"/>
                <w:sz w:val="20"/>
                <w:szCs w:val="20"/>
                <w:lang w:val="en-US" w:eastAsia="zh-CN" w:bidi="ar"/>
              </w:rPr>
              <w:t> 0</w:t>
            </w:r>
          </w:p>
        </w:tc>
        <w:tc>
          <w:tcPr>
            <w:tcW w:w="578" w:type="dxa"/>
            <w:shd w:val="clear" w:color="auto" w:fill="FFFFFF"/>
            <w:noWrap w:val="0"/>
            <w:tcMar>
              <w:left w:w="108" w:type="dxa"/>
              <w:right w:w="108" w:type="dxa"/>
            </w:tcMar>
            <w:vAlign w:val="center"/>
          </w:tcPr>
          <w:p w14:paraId="6B493D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lang w:val="en-US"/>
              </w:rPr>
            </w:pPr>
            <w:r>
              <w:rPr>
                <w:rFonts w:hint="eastAsia" w:ascii="Times New Roman" w:hAnsi="Times New Roman" w:eastAsia="黑体" w:cs="黑体"/>
                <w:color w:val="000000"/>
                <w:kern w:val="0"/>
                <w:sz w:val="20"/>
                <w:szCs w:val="20"/>
                <w:lang w:val="en-US" w:eastAsia="zh-CN" w:bidi="ar"/>
              </w:rPr>
              <w:t> 0</w:t>
            </w:r>
          </w:p>
        </w:tc>
        <w:tc>
          <w:tcPr>
            <w:tcW w:w="578" w:type="dxa"/>
            <w:shd w:val="clear" w:color="auto" w:fill="FFFFFF"/>
            <w:noWrap w:val="0"/>
            <w:tcMar>
              <w:left w:w="108" w:type="dxa"/>
              <w:right w:w="108" w:type="dxa"/>
            </w:tcMar>
            <w:vAlign w:val="center"/>
          </w:tcPr>
          <w:p w14:paraId="5F7EA3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lang w:val="en-US"/>
              </w:rPr>
            </w:pPr>
            <w:r>
              <w:rPr>
                <w:rFonts w:hint="eastAsia" w:ascii="Times New Roman" w:hAnsi="Times New Roman" w:eastAsia="黑体" w:cs="黑体"/>
                <w:color w:val="000000"/>
                <w:kern w:val="0"/>
                <w:sz w:val="20"/>
                <w:szCs w:val="20"/>
                <w:lang w:val="en-US" w:eastAsia="zh-CN" w:bidi="ar"/>
              </w:rPr>
              <w:t> 0</w:t>
            </w:r>
          </w:p>
        </w:tc>
        <w:tc>
          <w:tcPr>
            <w:tcW w:w="578" w:type="dxa"/>
            <w:shd w:val="clear" w:color="auto" w:fill="FFFFFF"/>
            <w:noWrap w:val="0"/>
            <w:tcMar>
              <w:left w:w="108" w:type="dxa"/>
              <w:right w:w="108" w:type="dxa"/>
            </w:tcMar>
            <w:vAlign w:val="center"/>
          </w:tcPr>
          <w:p w14:paraId="286C2B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lang w:val="en-US"/>
              </w:rPr>
            </w:pPr>
            <w:r>
              <w:rPr>
                <w:rFonts w:hint="eastAsia" w:ascii="Times New Roman" w:hAnsi="Times New Roman" w:eastAsia="黑体" w:cs="黑体"/>
                <w:color w:val="000000"/>
                <w:kern w:val="0"/>
                <w:sz w:val="20"/>
                <w:szCs w:val="20"/>
                <w:lang w:val="en-US" w:eastAsia="zh-CN" w:bidi="ar"/>
              </w:rPr>
              <w:t> 0</w:t>
            </w:r>
          </w:p>
        </w:tc>
        <w:tc>
          <w:tcPr>
            <w:tcW w:w="578" w:type="dxa"/>
            <w:shd w:val="clear" w:color="auto" w:fill="FFFFFF"/>
            <w:noWrap w:val="0"/>
            <w:tcMar>
              <w:left w:w="108" w:type="dxa"/>
              <w:right w:w="108" w:type="dxa"/>
            </w:tcMar>
            <w:vAlign w:val="center"/>
          </w:tcPr>
          <w:p w14:paraId="386F54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lang w:val="en-US"/>
              </w:rPr>
            </w:pPr>
            <w:r>
              <w:rPr>
                <w:rFonts w:hint="eastAsia" w:ascii="Times New Roman" w:hAnsi="Times New Roman" w:eastAsia="黑体" w:cs="黑体"/>
                <w:color w:val="000000"/>
                <w:kern w:val="0"/>
                <w:sz w:val="20"/>
                <w:szCs w:val="20"/>
                <w:lang w:val="en-US" w:eastAsia="zh-CN" w:bidi="ar"/>
              </w:rPr>
              <w:t> 0</w:t>
            </w:r>
          </w:p>
        </w:tc>
        <w:tc>
          <w:tcPr>
            <w:tcW w:w="578" w:type="dxa"/>
            <w:shd w:val="clear" w:color="auto" w:fill="FFFFFF"/>
            <w:noWrap w:val="0"/>
            <w:tcMar>
              <w:left w:w="108" w:type="dxa"/>
              <w:right w:w="108" w:type="dxa"/>
            </w:tcMar>
            <w:vAlign w:val="center"/>
          </w:tcPr>
          <w:p w14:paraId="2C7644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lang w:val="en-US"/>
              </w:rPr>
            </w:pPr>
            <w:r>
              <w:rPr>
                <w:rFonts w:hint="eastAsia" w:ascii="Times New Roman" w:hAnsi="Times New Roman" w:eastAsia="黑体" w:cs="黑体"/>
                <w:color w:val="000000"/>
                <w:kern w:val="0"/>
                <w:sz w:val="20"/>
                <w:szCs w:val="20"/>
                <w:lang w:val="en-US" w:eastAsia="zh-CN" w:bidi="ar"/>
              </w:rPr>
              <w:t> 0</w:t>
            </w:r>
          </w:p>
        </w:tc>
        <w:tc>
          <w:tcPr>
            <w:tcW w:w="578" w:type="dxa"/>
            <w:shd w:val="clear" w:color="auto" w:fill="FFFFFF"/>
            <w:noWrap w:val="0"/>
            <w:tcMar>
              <w:left w:w="108" w:type="dxa"/>
              <w:right w:w="108" w:type="dxa"/>
            </w:tcMar>
            <w:vAlign w:val="center"/>
          </w:tcPr>
          <w:p w14:paraId="200423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lang w:val="en-US"/>
              </w:rPr>
            </w:pPr>
            <w:r>
              <w:rPr>
                <w:rFonts w:hint="eastAsia" w:ascii="Times New Roman" w:hAnsi="Times New Roman" w:eastAsia="黑体" w:cs="黑体"/>
                <w:color w:val="000000"/>
                <w:kern w:val="0"/>
                <w:sz w:val="20"/>
                <w:szCs w:val="20"/>
                <w:lang w:val="en-US" w:eastAsia="zh-CN" w:bidi="ar"/>
              </w:rPr>
              <w:t> 0</w:t>
            </w:r>
          </w:p>
        </w:tc>
        <w:tc>
          <w:tcPr>
            <w:tcW w:w="578" w:type="dxa"/>
            <w:shd w:val="clear" w:color="auto" w:fill="FFFFFF"/>
            <w:noWrap w:val="0"/>
            <w:tcMar>
              <w:left w:w="108" w:type="dxa"/>
              <w:right w:w="108" w:type="dxa"/>
            </w:tcMar>
            <w:vAlign w:val="center"/>
          </w:tcPr>
          <w:p w14:paraId="5E7812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lang w:val="en-US"/>
              </w:rPr>
            </w:pPr>
            <w:r>
              <w:rPr>
                <w:rFonts w:hint="eastAsia" w:ascii="Times New Roman" w:hAnsi="Times New Roman" w:eastAsia="黑体" w:cs="黑体"/>
                <w:color w:val="000000"/>
                <w:kern w:val="0"/>
                <w:sz w:val="20"/>
                <w:szCs w:val="20"/>
                <w:lang w:val="en-US" w:eastAsia="zh-CN" w:bidi="ar"/>
              </w:rPr>
              <w:t> 0</w:t>
            </w:r>
          </w:p>
        </w:tc>
        <w:tc>
          <w:tcPr>
            <w:tcW w:w="578" w:type="dxa"/>
            <w:shd w:val="clear" w:color="auto" w:fill="FFFFFF"/>
            <w:noWrap w:val="0"/>
            <w:tcMar>
              <w:left w:w="108" w:type="dxa"/>
              <w:right w:w="108" w:type="dxa"/>
            </w:tcMar>
            <w:vAlign w:val="center"/>
          </w:tcPr>
          <w:p w14:paraId="1741FC97">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Times New Roman" w:hAnsi="Times New Roman" w:eastAsia="宋体"/>
                <w:color w:val="000000"/>
                <w:sz w:val="24"/>
                <w:szCs w:val="24"/>
                <w:lang w:val="en-US" w:eastAsia="zh-CN"/>
              </w:rPr>
            </w:pPr>
            <w:r>
              <w:rPr>
                <w:rFonts w:hint="eastAsia" w:ascii="Times New Roman" w:hAnsi="Times New Roman"/>
                <w:color w:val="000000"/>
                <w:sz w:val="24"/>
                <w:szCs w:val="24"/>
                <w:lang w:val="en-US" w:eastAsia="zh-CN"/>
              </w:rPr>
              <w:t>0</w:t>
            </w:r>
          </w:p>
        </w:tc>
      </w:tr>
    </w:tbl>
    <w:p w14:paraId="276D4E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r>
        <w:rPr>
          <w:rFonts w:hint="eastAsia" w:ascii="黑体" w:hAnsi="黑体" w:eastAsia="黑体" w:cs="黑体"/>
          <w:b w:val="0"/>
          <w:bCs w:val="0"/>
          <w:i w:val="0"/>
          <w:iCs w:val="0"/>
          <w:caps w:val="0"/>
          <w:color w:val="333333"/>
          <w:spacing w:val="0"/>
          <w:sz w:val="32"/>
          <w:szCs w:val="32"/>
          <w:shd w:val="clear" w:color="auto" w:fill="FFFFFF"/>
        </w:rPr>
        <w:t>五、存在的主要问题及改进情况</w:t>
      </w:r>
    </w:p>
    <w:p w14:paraId="6F31A8E7">
      <w:pPr>
        <w:ind w:firstLine="640" w:firstLineChars="200"/>
        <w:rPr>
          <w:rStyle w:val="9"/>
          <w:rFonts w:hint="eastAsia" w:ascii="仿宋_GB2312" w:hAnsi="仿宋_GB2312" w:eastAsia="仿宋_GB2312" w:cs="仿宋_GB2312"/>
          <w:b w:val="0"/>
          <w:bCs/>
          <w:i w:val="0"/>
          <w:iCs w:val="0"/>
          <w:caps w:val="0"/>
          <w:color w:val="333333"/>
          <w:spacing w:val="0"/>
          <w:sz w:val="32"/>
          <w:szCs w:val="32"/>
          <w:shd w:val="clear" w:color="auto" w:fill="FFFFFF"/>
          <w:lang w:val="en-US" w:eastAsia="zh-CN"/>
        </w:rPr>
      </w:pPr>
      <w:r>
        <w:rPr>
          <w:rStyle w:val="9"/>
          <w:rFonts w:hint="eastAsia" w:ascii="仿宋_GB2312" w:hAnsi="仿宋_GB2312" w:eastAsia="仿宋_GB2312" w:cs="仿宋_GB2312"/>
          <w:b w:val="0"/>
          <w:bCs/>
          <w:i w:val="0"/>
          <w:iCs w:val="0"/>
          <w:caps w:val="0"/>
          <w:color w:val="333333"/>
          <w:spacing w:val="0"/>
          <w:sz w:val="32"/>
          <w:szCs w:val="32"/>
          <w:shd w:val="clear" w:color="auto" w:fill="FFFFFF"/>
          <w:lang w:val="en-US" w:eastAsia="zh-CN"/>
        </w:rPr>
        <w:t>2025年，庆阳市生态环境局正宁分局在政府信息公开工作上虽然取得了一定成效，但仍存在一些不足之处，如政策解读的质量还不够高，政务公开质量仍需持续提升等。</w:t>
      </w:r>
    </w:p>
    <w:p w14:paraId="63D5282E">
      <w:pPr>
        <w:ind w:firstLine="640" w:firstLineChars="200"/>
        <w:rPr>
          <w:rStyle w:val="9"/>
          <w:rFonts w:hint="eastAsia" w:ascii="仿宋_GB2312" w:hAnsi="仿宋_GB2312" w:eastAsia="仿宋_GB2312" w:cs="仿宋_GB2312"/>
          <w:b w:val="0"/>
          <w:bCs/>
          <w:i w:val="0"/>
          <w:iCs w:val="0"/>
          <w:caps w:val="0"/>
          <w:color w:val="333333"/>
          <w:spacing w:val="0"/>
          <w:sz w:val="32"/>
          <w:szCs w:val="32"/>
          <w:shd w:val="clear" w:color="auto" w:fill="FFFFFF"/>
          <w:lang w:val="en-US" w:eastAsia="zh-CN"/>
        </w:rPr>
      </w:pPr>
      <w:r>
        <w:rPr>
          <w:rStyle w:val="9"/>
          <w:rFonts w:hint="eastAsia" w:ascii="仿宋_GB2312" w:hAnsi="仿宋_GB2312" w:eastAsia="仿宋_GB2312" w:cs="仿宋_GB2312"/>
          <w:b w:val="0"/>
          <w:bCs/>
          <w:i w:val="0"/>
          <w:iCs w:val="0"/>
          <w:caps w:val="0"/>
          <w:color w:val="333333"/>
          <w:spacing w:val="0"/>
          <w:sz w:val="32"/>
          <w:szCs w:val="32"/>
          <w:shd w:val="clear" w:color="auto" w:fill="FFFFFF"/>
          <w:lang w:val="en-US" w:eastAsia="zh-CN"/>
        </w:rPr>
        <w:t>下一步，庆阳市生态环境局正宁分局将通过以下措施加以改进：一是加强组织领导，开展业务培训学习，准确把握公开范围和公开时限，加大公开力度，持续提升政务公开工作能力。二是压实下属单位及股队政府信息公开职责，确保发布的信息准确规范、及时安全，并按时做好维护更新。</w:t>
      </w:r>
    </w:p>
    <w:p w14:paraId="4F632D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r>
        <w:rPr>
          <w:rFonts w:hint="eastAsia" w:ascii="黑体" w:hAnsi="黑体" w:eastAsia="黑体" w:cs="黑体"/>
          <w:b w:val="0"/>
          <w:bCs w:val="0"/>
          <w:i w:val="0"/>
          <w:iCs w:val="0"/>
          <w:caps w:val="0"/>
          <w:color w:val="333333"/>
          <w:spacing w:val="0"/>
          <w:sz w:val="32"/>
          <w:szCs w:val="32"/>
          <w:shd w:val="clear" w:color="auto" w:fill="FFFFFF"/>
        </w:rPr>
        <w:t>六、其他需要报告的事项</w:t>
      </w:r>
    </w:p>
    <w:p w14:paraId="1531AB9A">
      <w:pPr>
        <w:keepNext w:val="0"/>
        <w:keepLines w:val="0"/>
        <w:pageBreakBefore w:val="0"/>
        <w:kinsoku/>
        <w:wordWrap/>
        <w:overflowPunct/>
        <w:topLinePunct w:val="0"/>
        <w:autoSpaceDE/>
        <w:autoSpaceDN/>
        <w:bidi w:val="0"/>
        <w:adjustRightInd/>
        <w:snapToGrid/>
        <w:spacing w:line="560" w:lineRule="exact"/>
        <w:ind w:firstLine="640" w:firstLineChars="200"/>
        <w:rPr>
          <w:rStyle w:val="9"/>
          <w:rFonts w:hint="eastAsia" w:ascii="仿宋_GB2312" w:hAnsi="仿宋_GB2312" w:eastAsia="仿宋_GB2312" w:cs="仿宋_GB2312"/>
          <w:b w:val="0"/>
          <w:bCs/>
          <w:i w:val="0"/>
          <w:iCs w:val="0"/>
          <w:caps w:val="0"/>
          <w:color w:val="333333"/>
          <w:spacing w:val="0"/>
          <w:sz w:val="32"/>
          <w:szCs w:val="32"/>
          <w:shd w:val="clear" w:color="auto" w:fill="FFFFFF"/>
          <w:lang w:val="en-US" w:eastAsia="zh-CN"/>
        </w:rPr>
      </w:pPr>
      <w:r>
        <w:rPr>
          <w:rStyle w:val="9"/>
          <w:rFonts w:hint="eastAsia" w:ascii="仿宋_GB2312" w:hAnsi="仿宋_GB2312" w:eastAsia="仿宋_GB2312" w:cs="仿宋_GB2312"/>
          <w:b w:val="0"/>
          <w:bCs/>
          <w:i w:val="0"/>
          <w:iCs w:val="0"/>
          <w:caps w:val="0"/>
          <w:color w:val="333333"/>
          <w:spacing w:val="0"/>
          <w:sz w:val="32"/>
          <w:szCs w:val="32"/>
          <w:shd w:val="clear" w:color="auto" w:fill="FFFFFF"/>
          <w:lang w:val="en-US" w:eastAsia="zh-CN"/>
        </w:rPr>
        <w:t>依据国务院办公厅《政府信息公开信息处理费管理办法》（国办函〔2020〕109号），本年度庆阳市生态环境局正宁分局未向任何申请主体收取政府信息公开信息处理费。</w:t>
      </w:r>
    </w:p>
    <w:p w14:paraId="6FEC3086">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本报告电子版可在正宁县人民政府门户网站“政府信息公开”专栏“政府信息公开年报”栏目（https://www.zninfo.gov.cn/zwgk/zfxxgknb）查阅下载。如有疑问或意见建议，请与</w:t>
      </w:r>
      <w:r>
        <w:rPr>
          <w:rFonts w:hint="eastAsia" w:ascii="仿宋_GB2312" w:hAnsi="仿宋_GB2312" w:eastAsia="仿宋_GB2312" w:cs="仿宋_GB2312"/>
          <w:color w:val="333333"/>
          <w:spacing w:val="0"/>
          <w:sz w:val="32"/>
          <w:szCs w:val="32"/>
          <w:lang w:val="en-US" w:eastAsia="zh-CN"/>
        </w:rPr>
        <w:t>庆阳市生态环境局正宁分局</w:t>
      </w:r>
      <w:r>
        <w:rPr>
          <w:rFonts w:hint="default" w:ascii="Times New Roman" w:hAnsi="Times New Roman" w:eastAsia="仿宋_GB2312" w:cs="Times New Roman"/>
          <w:color w:val="auto"/>
          <w:kern w:val="0"/>
          <w:sz w:val="32"/>
          <w:szCs w:val="32"/>
          <w:lang w:val="en-US" w:eastAsia="zh-CN"/>
        </w:rPr>
        <w:t>办公室联系，联系电话：0934-612</w:t>
      </w:r>
      <w:r>
        <w:rPr>
          <w:rFonts w:hint="eastAsia" w:ascii="Times New Roman" w:hAnsi="Times New Roman" w:eastAsia="仿宋_GB2312" w:cs="Times New Roman"/>
          <w:color w:val="auto"/>
          <w:kern w:val="0"/>
          <w:sz w:val="32"/>
          <w:szCs w:val="32"/>
          <w:lang w:val="en-US" w:eastAsia="zh-CN"/>
        </w:rPr>
        <w:t>2379</w:t>
      </w:r>
      <w:r>
        <w:rPr>
          <w:rFonts w:hint="default" w:ascii="Times New Roman" w:hAnsi="Times New Roman" w:eastAsia="仿宋_GB2312" w:cs="Times New Roman"/>
          <w:color w:val="auto"/>
          <w:kern w:val="0"/>
          <w:sz w:val="32"/>
          <w:szCs w:val="32"/>
          <w:lang w:val="en-US" w:eastAsia="zh-CN"/>
        </w:rPr>
        <w:t>。</w:t>
      </w:r>
    </w:p>
    <w:p w14:paraId="5A9592F1">
      <w:pPr>
        <w:pStyle w:val="2"/>
        <w:rPr>
          <w:rFonts w:hint="eastAsia"/>
          <w:lang w:val="en-US" w:eastAsia="zh-CN"/>
        </w:rPr>
      </w:pPr>
    </w:p>
    <w:sectPr>
      <w:footerReference r:id="rId4" w:type="first"/>
      <w:footerReference r:id="rId3" w:type="default"/>
      <w:pgSz w:w="11906" w:h="16838"/>
      <w:pgMar w:top="2098" w:right="1587" w:bottom="1984" w:left="1587"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E733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EC8C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7EC8C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E473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8533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618533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35F303"/>
    <w:rsid w:val="12AB021B"/>
    <w:rsid w:val="1E586386"/>
    <w:rsid w:val="36497358"/>
    <w:rsid w:val="3EFD20B6"/>
    <w:rsid w:val="4B8F611F"/>
    <w:rsid w:val="6BD539AD"/>
    <w:rsid w:val="6DB5BB06"/>
    <w:rsid w:val="6FEF69FB"/>
    <w:rsid w:val="77ED6E0A"/>
    <w:rsid w:val="7A0D5F20"/>
    <w:rsid w:val="7BFEFA79"/>
    <w:rsid w:val="7F133561"/>
    <w:rsid w:val="AF35F303"/>
    <w:rsid w:val="B65C3E7E"/>
    <w:rsid w:val="BFBF6766"/>
    <w:rsid w:val="C7BD867F"/>
    <w:rsid w:val="CAAB4DEE"/>
    <w:rsid w:val="D7EECC8A"/>
    <w:rsid w:val="DF6E95F4"/>
    <w:rsid w:val="DFDE1D6A"/>
    <w:rsid w:val="E5FF8CD0"/>
    <w:rsid w:val="FF7DEE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0"/>
    <w:rPr>
      <w:rFonts w:ascii="Calibri" w:hAnsi="Calibri" w:eastAsia="宋体_x0004_fal"/>
      <w:szCs w:val="20"/>
    </w:rPr>
  </w:style>
  <w:style w:type="paragraph" w:styleId="3">
    <w:name w:val="Body Text Indent 2"/>
    <w:basedOn w:val="1"/>
    <w:next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2348</Words>
  <Characters>2430</Characters>
  <Lines>0</Lines>
  <Paragraphs>0</Paragraphs>
  <TotalTime>0</TotalTime>
  <ScaleCrop>false</ScaleCrop>
  <LinksUpToDate>false</LinksUpToDate>
  <CharactersWithSpaces>2446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2024-12-01T19:42:00Z</dcterms:created>
  <dc:creator>S.A.Q</dc:creator>
  <cp:lastModifiedBy>风声</cp:lastModifiedBy>
  <cp:lastPrinted>2025-01-10T16:02:00Z</cp:lastPrinted>
  <dcterms:modified xsi:type="dcterms:W3CDTF">2026-01-21T15:07:36Z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95434A9793D1469CB531F50C9230408B_13</vt:lpwstr>
  </property>
  <property fmtid="{D5CDD505-2E9C-101B-9397-08002B2CF9AE}" pid="4" name="KSOTemplateDocerSaveRecord">
    <vt:lpwstr>eyJoZGlkIjoiNzM0NDYxNGIwYjE3ZDRmNjhkYWM5NzlhYWJmNDVhZDciLCJ1c2VySWQiOiI0MjcwMDk2NDUifQ==</vt:lpwstr>
  </property>
</Properties>
</file>