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CA1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 xml:space="preserve">正宁县教育局 </w:t>
      </w:r>
    </w:p>
    <w:p w14:paraId="3BCB170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年政府信息公开工作年度报告</w:t>
      </w:r>
    </w:p>
    <w:p w14:paraId="0CE411C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9A9E51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68EB7CA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总体情况</w:t>
      </w:r>
    </w:p>
    <w:p w14:paraId="526C586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年，我局认真贯彻落实《中华人民共和国政府信息公开条例》，严格按照“公开为原则，不公开为例外”的政府信息公开原则，拓展公开渠道和领域，全面提升我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教育系统的政务公开水平，主动保障社会公众在教育领域的知情权、参与权和监督权。</w:t>
      </w:r>
    </w:p>
    <w:p w14:paraId="1EDB792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主动公开方面</w:t>
      </w:r>
    </w:p>
    <w:p w14:paraId="5D4650E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年，县教育局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将教师资格认定、学生资助金发放、教师招录、职称评审、自学考试、人才引进等信息及时主动在政府网站和“正宁教育”微信公众号公开。全年主动公开基本信息共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433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条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eastAsia="zh-CN"/>
        </w:rPr>
        <w:t>其中，通过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正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eastAsia="zh-CN"/>
        </w:rPr>
        <w:t>宁县人民政府网站主动公开信息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16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eastAsia="zh-CN"/>
        </w:rPr>
        <w:t>条；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通过“正宁教育”微信公众平台发布工作动态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417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条）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并在政务服务网向社会主动公开办理事项共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项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（其中行政许可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项、行政给付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项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公共服务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项、其他事项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项）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5E07E1D9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依申请公开方面</w:t>
      </w:r>
    </w:p>
    <w:p w14:paraId="617114E3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6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年，无政府信息公开申请情况。</w:t>
      </w:r>
    </w:p>
    <w:p w14:paraId="7EFB3404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政府信息管理方面</w:t>
      </w:r>
    </w:p>
    <w:p w14:paraId="70E774C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按照“以公开为常态、不公开为例外”的总要求，依据《中华人民共和国政府信息公开条例》和《中华人民共和国保守国家秘密法》等法律法规，</w:t>
      </w: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坚持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遵循“谁发布、谁负责”、“先审核后发布”、“一事一审”及“上网不涉密、涉密不上网”原则，对信息公开的范围、内容、形式、制度进一步明确，做到依法保密、依法公开；严格做好文件公开属性的界定，加强审核把关，并做好政策性文件解读工作，切实处理好政府信息公开和信息安全保密的关系。</w:t>
      </w:r>
    </w:p>
    <w:p w14:paraId="1866F9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平台建设方面</w:t>
      </w:r>
    </w:p>
    <w:p w14:paraId="13221E5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加强平台建设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力做好政府信息公开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，不断优化政务新媒体平台，紧贴教育实际，及时发布教育资讯、政策解读、校园动态、安全宣传等信息，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严格按照信息发布“三校三审”制度要求审核把关，确保政务公开内容“零错误”。</w:t>
      </w:r>
    </w:p>
    <w:p w14:paraId="4B8EE89C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监督保障方面</w:t>
      </w:r>
    </w:p>
    <w:p w14:paraId="05E0A9E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一是加强组织领导。教育局信息公开工作由办公室牵头实施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，各级各类学校协调配合，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专人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负责信息公开材料的收集、审核、发布，规范政府信息公开目录清单，保证政务信息公开工作的日常化、制度化、规范化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二是坚持内外监督相结合。及时向群众更新投诉举报电话，确保民意畅达，听取群众意见并结合实际做好整改工作。</w:t>
      </w:r>
    </w:p>
    <w:p w14:paraId="6B3F4B2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1DD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97AE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23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4EBDA0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80D1D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0D2FE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4D6A8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E1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3563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A737C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A5B9F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58487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A48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0CBF1D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FA1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BA2E0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0A5C0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0C1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496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A93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F3CD8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0F7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8E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B8D4C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4472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171</w:t>
            </w:r>
          </w:p>
        </w:tc>
      </w:tr>
      <w:tr w14:paraId="5F0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2900C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69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B6477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F0D5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78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39F1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E508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64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45AF0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AF3A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78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68E6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AF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E5072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B61BE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D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5D261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343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529C8F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30988A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A5CC75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3C0BEF0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县教育局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政务公开工作虽然取得了一定成效，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但是还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存在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主动公开意识不强和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信息公开的内容和形式上有待进一步充实完善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等问题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。</w:t>
      </w:r>
    </w:p>
    <w:p w14:paraId="05E21E5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下一步，我们将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持续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县委、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县政府</w:t>
      </w: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对政务信息公开工作的要求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，进一步健全和完善政务公开制度、规范公开内容、提高公开质量，主动、全面、及时的公开政府信息，确保政府信息公开工作的针对性和实效性。</w:t>
      </w:r>
    </w:p>
    <w:p w14:paraId="430B167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5E41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，本年度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正宁县教育局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未向任何申请主体收取政府信息公开信息处理费。</w:t>
      </w:r>
    </w:p>
    <w:p w14:paraId="07EF48D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本报告电子版可在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人民政府门户网站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“政府信息公开”专栏“政府信息公开年报”栏目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（https://www.zgqingyang.gov.cn/gk/zfxxgk/xxgkndbg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/）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查阅下载。如有疑问或意见建议，请与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正宁县教育局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办公室联系，联系电话：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0934-6121150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sectPr>
      <w:footerReference r:id="rId4" w:type="first"/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580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6EADC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D6EADC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096D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DA24F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ADA24F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9FA9C"/>
    <w:multiLevelType w:val="singleLevel"/>
    <w:tmpl w:val="1E99FA9C"/>
    <w:lvl w:ilvl="0" w:tentative="0">
      <w:start w:val="2"/>
      <w:numFmt w:val="chineseCounting"/>
      <w:suff w:val="nothing"/>
      <w:lvlText w:val="（%1）"/>
      <w:lvlJc w:val="left"/>
      <w:rPr>
        <w:rFonts w:hint="eastAsia"/>
        <w:b/>
        <w:bCs/>
        <w:sz w:val="32"/>
        <w:szCs w:val="32"/>
      </w:rPr>
    </w:lvl>
  </w:abstractNum>
  <w:abstractNum w:abstractNumId="1">
    <w:nsid w:val="4BB3DE26"/>
    <w:multiLevelType w:val="singleLevel"/>
    <w:tmpl w:val="4BB3DE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001C048E"/>
    <w:rsid w:val="006B4F71"/>
    <w:rsid w:val="008E0C60"/>
    <w:rsid w:val="00EA233A"/>
    <w:rsid w:val="00EA40E8"/>
    <w:rsid w:val="012313A8"/>
    <w:rsid w:val="014E05F8"/>
    <w:rsid w:val="01E70628"/>
    <w:rsid w:val="0250441F"/>
    <w:rsid w:val="027A76EE"/>
    <w:rsid w:val="02A93B2F"/>
    <w:rsid w:val="02DA1F3A"/>
    <w:rsid w:val="02EB239A"/>
    <w:rsid w:val="03C230FA"/>
    <w:rsid w:val="03D42E2E"/>
    <w:rsid w:val="041A1188"/>
    <w:rsid w:val="04781A0B"/>
    <w:rsid w:val="064A5629"/>
    <w:rsid w:val="06B036DE"/>
    <w:rsid w:val="06FD08ED"/>
    <w:rsid w:val="07941252"/>
    <w:rsid w:val="07E90E33"/>
    <w:rsid w:val="08634780"/>
    <w:rsid w:val="08744BDF"/>
    <w:rsid w:val="087921F6"/>
    <w:rsid w:val="095A3DD5"/>
    <w:rsid w:val="0A410AF1"/>
    <w:rsid w:val="0C886EAB"/>
    <w:rsid w:val="0DB047E2"/>
    <w:rsid w:val="0DD26630"/>
    <w:rsid w:val="0DF2282E"/>
    <w:rsid w:val="0E4312DC"/>
    <w:rsid w:val="0EA37FCC"/>
    <w:rsid w:val="0EE26D46"/>
    <w:rsid w:val="0F4A0448"/>
    <w:rsid w:val="0FC1695C"/>
    <w:rsid w:val="0FF860F6"/>
    <w:rsid w:val="0FFF1232"/>
    <w:rsid w:val="11121C3B"/>
    <w:rsid w:val="112278CE"/>
    <w:rsid w:val="13AF2F6F"/>
    <w:rsid w:val="141F00F5"/>
    <w:rsid w:val="1433594E"/>
    <w:rsid w:val="14F74BCE"/>
    <w:rsid w:val="15051099"/>
    <w:rsid w:val="159B37AB"/>
    <w:rsid w:val="15CC1BB7"/>
    <w:rsid w:val="160550C9"/>
    <w:rsid w:val="161517B0"/>
    <w:rsid w:val="162C7035"/>
    <w:rsid w:val="166B7621"/>
    <w:rsid w:val="173D7210"/>
    <w:rsid w:val="17BD5C5B"/>
    <w:rsid w:val="18147845"/>
    <w:rsid w:val="18B01751"/>
    <w:rsid w:val="19CE05F3"/>
    <w:rsid w:val="1B2D30F7"/>
    <w:rsid w:val="1BC51582"/>
    <w:rsid w:val="1BDE0896"/>
    <w:rsid w:val="1C2E5379"/>
    <w:rsid w:val="1C5F3784"/>
    <w:rsid w:val="1C6C5EA1"/>
    <w:rsid w:val="1C6E7E6B"/>
    <w:rsid w:val="1D0600A4"/>
    <w:rsid w:val="1D7B3BE8"/>
    <w:rsid w:val="1D9E208B"/>
    <w:rsid w:val="1DA33B45"/>
    <w:rsid w:val="1E65704C"/>
    <w:rsid w:val="1E676920"/>
    <w:rsid w:val="1EB51737"/>
    <w:rsid w:val="1F1F544D"/>
    <w:rsid w:val="1F505606"/>
    <w:rsid w:val="20BD4F1E"/>
    <w:rsid w:val="21294361"/>
    <w:rsid w:val="221548E5"/>
    <w:rsid w:val="229242E3"/>
    <w:rsid w:val="231D1CA3"/>
    <w:rsid w:val="236B0C61"/>
    <w:rsid w:val="239432A5"/>
    <w:rsid w:val="23A10B26"/>
    <w:rsid w:val="241F1A4B"/>
    <w:rsid w:val="254A2AF8"/>
    <w:rsid w:val="25F52A64"/>
    <w:rsid w:val="26D7485F"/>
    <w:rsid w:val="26DD00C8"/>
    <w:rsid w:val="27167136"/>
    <w:rsid w:val="274E2D73"/>
    <w:rsid w:val="287F6F5C"/>
    <w:rsid w:val="28EA087A"/>
    <w:rsid w:val="29CC7F7F"/>
    <w:rsid w:val="2A946CEF"/>
    <w:rsid w:val="2B0B2D29"/>
    <w:rsid w:val="2BBF56C3"/>
    <w:rsid w:val="2CFA4E04"/>
    <w:rsid w:val="2D214C54"/>
    <w:rsid w:val="2D856DC3"/>
    <w:rsid w:val="2E0028ED"/>
    <w:rsid w:val="2F9B60F6"/>
    <w:rsid w:val="332D7CE1"/>
    <w:rsid w:val="333944C9"/>
    <w:rsid w:val="3363389E"/>
    <w:rsid w:val="33B26438"/>
    <w:rsid w:val="33CB74FA"/>
    <w:rsid w:val="34476B80"/>
    <w:rsid w:val="352E7D40"/>
    <w:rsid w:val="355359F9"/>
    <w:rsid w:val="35CD1307"/>
    <w:rsid w:val="35D72186"/>
    <w:rsid w:val="36E032BC"/>
    <w:rsid w:val="377759CE"/>
    <w:rsid w:val="378B147A"/>
    <w:rsid w:val="37B564F7"/>
    <w:rsid w:val="386A72E1"/>
    <w:rsid w:val="38F17A02"/>
    <w:rsid w:val="39477622"/>
    <w:rsid w:val="395B4E7C"/>
    <w:rsid w:val="3A345DF9"/>
    <w:rsid w:val="3AB6680E"/>
    <w:rsid w:val="3BCB62E9"/>
    <w:rsid w:val="3D232155"/>
    <w:rsid w:val="3D98669F"/>
    <w:rsid w:val="3DC2371B"/>
    <w:rsid w:val="403D352D"/>
    <w:rsid w:val="41393CF5"/>
    <w:rsid w:val="41A90E7A"/>
    <w:rsid w:val="42DC702D"/>
    <w:rsid w:val="42DF6B1E"/>
    <w:rsid w:val="435B2648"/>
    <w:rsid w:val="43617533"/>
    <w:rsid w:val="43803E5D"/>
    <w:rsid w:val="43B27D8E"/>
    <w:rsid w:val="43E46A36"/>
    <w:rsid w:val="461E795D"/>
    <w:rsid w:val="46731A57"/>
    <w:rsid w:val="468772B0"/>
    <w:rsid w:val="470B7EE1"/>
    <w:rsid w:val="471843AC"/>
    <w:rsid w:val="47AB0704"/>
    <w:rsid w:val="484F02A2"/>
    <w:rsid w:val="48B00D40"/>
    <w:rsid w:val="498D72D3"/>
    <w:rsid w:val="49B45B0A"/>
    <w:rsid w:val="4AA46683"/>
    <w:rsid w:val="4ACC7988"/>
    <w:rsid w:val="4AFF2D56"/>
    <w:rsid w:val="4B0C5FD6"/>
    <w:rsid w:val="4B2C26E7"/>
    <w:rsid w:val="4B4B4D50"/>
    <w:rsid w:val="4CC254E6"/>
    <w:rsid w:val="4CE70AA9"/>
    <w:rsid w:val="4CF669CB"/>
    <w:rsid w:val="4D4203D5"/>
    <w:rsid w:val="4D510618"/>
    <w:rsid w:val="4D897DB2"/>
    <w:rsid w:val="4E2F2707"/>
    <w:rsid w:val="4FA233AD"/>
    <w:rsid w:val="50F25C6E"/>
    <w:rsid w:val="51F06651"/>
    <w:rsid w:val="522307D5"/>
    <w:rsid w:val="52522E68"/>
    <w:rsid w:val="536A5F90"/>
    <w:rsid w:val="53B13BBE"/>
    <w:rsid w:val="54DC2EBD"/>
    <w:rsid w:val="54F9581D"/>
    <w:rsid w:val="55937A20"/>
    <w:rsid w:val="55E62245"/>
    <w:rsid w:val="56835CE6"/>
    <w:rsid w:val="56FC15F5"/>
    <w:rsid w:val="5737087F"/>
    <w:rsid w:val="577E64AD"/>
    <w:rsid w:val="58B303D9"/>
    <w:rsid w:val="59745DBA"/>
    <w:rsid w:val="5A470DD9"/>
    <w:rsid w:val="5A706581"/>
    <w:rsid w:val="5AFA22EF"/>
    <w:rsid w:val="5B767BC7"/>
    <w:rsid w:val="5B8C7C99"/>
    <w:rsid w:val="5B8F47E5"/>
    <w:rsid w:val="5C846314"/>
    <w:rsid w:val="5C8C341B"/>
    <w:rsid w:val="5E007C1C"/>
    <w:rsid w:val="5FBB4224"/>
    <w:rsid w:val="5FF4555F"/>
    <w:rsid w:val="6007224C"/>
    <w:rsid w:val="60964868"/>
    <w:rsid w:val="60DB671F"/>
    <w:rsid w:val="62377985"/>
    <w:rsid w:val="628C1A7E"/>
    <w:rsid w:val="629F51E1"/>
    <w:rsid w:val="635822A8"/>
    <w:rsid w:val="64526CF8"/>
    <w:rsid w:val="64D616D7"/>
    <w:rsid w:val="64F1206D"/>
    <w:rsid w:val="65051FBC"/>
    <w:rsid w:val="65532D27"/>
    <w:rsid w:val="65BA2DA7"/>
    <w:rsid w:val="666F593F"/>
    <w:rsid w:val="668F7D8F"/>
    <w:rsid w:val="66A01F9C"/>
    <w:rsid w:val="66D63C10"/>
    <w:rsid w:val="67892A30"/>
    <w:rsid w:val="68896A60"/>
    <w:rsid w:val="68D4417F"/>
    <w:rsid w:val="698B5C5D"/>
    <w:rsid w:val="69DD52B6"/>
    <w:rsid w:val="6A294057"/>
    <w:rsid w:val="6AE85CC0"/>
    <w:rsid w:val="6B252A70"/>
    <w:rsid w:val="6BA41D18"/>
    <w:rsid w:val="6BBF2EC5"/>
    <w:rsid w:val="6CE150BD"/>
    <w:rsid w:val="6CFC1EF7"/>
    <w:rsid w:val="6D2D5C70"/>
    <w:rsid w:val="6D747CDF"/>
    <w:rsid w:val="6DB5BB06"/>
    <w:rsid w:val="6E2A4841"/>
    <w:rsid w:val="6E427DDD"/>
    <w:rsid w:val="6F0926A9"/>
    <w:rsid w:val="6F4B2CC1"/>
    <w:rsid w:val="6F4C3764"/>
    <w:rsid w:val="6F814935"/>
    <w:rsid w:val="6FEF69FB"/>
    <w:rsid w:val="700416C1"/>
    <w:rsid w:val="710D6480"/>
    <w:rsid w:val="712832BA"/>
    <w:rsid w:val="723E08BB"/>
    <w:rsid w:val="735F6D3B"/>
    <w:rsid w:val="74411194"/>
    <w:rsid w:val="745E6FF3"/>
    <w:rsid w:val="74C90910"/>
    <w:rsid w:val="763850F2"/>
    <w:rsid w:val="76A07D97"/>
    <w:rsid w:val="76D8308D"/>
    <w:rsid w:val="777F2055"/>
    <w:rsid w:val="77DA4BE2"/>
    <w:rsid w:val="77E23B86"/>
    <w:rsid w:val="77ED6E0A"/>
    <w:rsid w:val="799B65F3"/>
    <w:rsid w:val="7A1563A6"/>
    <w:rsid w:val="7A2F56B9"/>
    <w:rsid w:val="7BB35E76"/>
    <w:rsid w:val="7BD83B2F"/>
    <w:rsid w:val="7BFEFA79"/>
    <w:rsid w:val="7E1A21DD"/>
    <w:rsid w:val="7ED56104"/>
    <w:rsid w:val="7F1906E6"/>
    <w:rsid w:val="7F4A6AF1"/>
    <w:rsid w:val="7F761695"/>
    <w:rsid w:val="7F763489"/>
    <w:rsid w:val="7FBE5191"/>
    <w:rsid w:val="9FDFFD6E"/>
    <w:rsid w:val="AF35F303"/>
    <w:rsid w:val="BEBA9F4A"/>
    <w:rsid w:val="C7BD867F"/>
    <w:rsid w:val="D6FF6D0A"/>
    <w:rsid w:val="D7EECC8A"/>
    <w:rsid w:val="DFDE1D6A"/>
    <w:rsid w:val="E5FF8CD0"/>
    <w:rsid w:val="F5167C54"/>
    <w:rsid w:val="F9ED0F34"/>
    <w:rsid w:val="FF7DE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2212</Words>
  <Characters>2328</Characters>
  <Lines>0</Lines>
  <Paragraphs>0</Paragraphs>
  <TotalTime>5</TotalTime>
  <ScaleCrop>false</ScaleCrop>
  <LinksUpToDate>false</LinksUpToDate>
  <CharactersWithSpaces>2329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2024-12-01T19:42:00Z</dcterms:created>
  <dc:creator>S.A.Q</dc:creator>
  <cp:lastModifiedBy>风声</cp:lastModifiedBy>
  <cp:lastPrinted>2025-12-17T09:53:00Z</cp:lastPrinted>
  <dcterms:modified xsi:type="dcterms:W3CDTF">2026-01-21T14:46:47Z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489F5B52E0BF4A34939B9D37FAE291DD_13</vt:lpwstr>
  </property>
  <property fmtid="{D5CDD505-2E9C-101B-9397-08002B2CF9AE}" pid="4" name="KSOTemplateDocerSaveRecord">
    <vt:lpwstr>eyJoZGlkIjoiM2I3YzVmNjQ2MmU1ZWQ0ZmFjMjdjZTNjZjY1YjY0NTciLCJ1c2VySWQiOiI2NjI2MzcwMzEifQ==</vt:lpwstr>
  </property>
</Properties>
</file>