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35D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4" w:name="_GoBack"/>
      <w:bookmarkEnd w:id="4"/>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 xml:space="preserve">正宁县市场监督管理局 </w:t>
      </w:r>
    </w:p>
    <w:p w14:paraId="19D5A9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p w14:paraId="1B6E13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6F761D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76AB850C">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一、总体情况</w:t>
      </w:r>
    </w:p>
    <w:p w14:paraId="2597EB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2025年，正宁县市场监督管理局贯彻落实《中华人民共和国政府信息公开条例》，高度重视政府信息公开工作，严格政府信息公开统计报送工作要求，完善工作机制，规范公开的内容和程序，围绕经济社会发展和人民群众关注关切、涉及群众切身利益、需要社会广泛知晓的重大决策等重点进行公开，有力地保障了公众的知情权、参与权、表达权和监督权，最大限度地发挥了政府信息公开对建设服务型政府和廉洁型政府的促进作用。根据规定，现将我局2025年度政府信息公开工作报告如下：</w:t>
      </w:r>
    </w:p>
    <w:p w14:paraId="706854AE">
      <w:p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(一)主动公开方面</w:t>
      </w:r>
    </w:p>
    <w:p w14:paraId="67AF552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2025年，我局主要通过县政府门户网站等形式主动公开政府信息，涉及政务服务、政策法规、政策解读、行政许可、基层动态、不合格产品质量抽检信息等方面的内容。在正宁市场监管公众号上及时转载中央、省市主要媒体解读材料，并发布一些工作动态和政策解读，让公众第一时间理解相关政策和举措。截至2025年12月31日，我局在政府网站累计主动公开政府信息24条，全文电子率达100%。政府文件2条；政府信息公开2条；规划信息2条；部门预算决算公开类1条；政府会议2条；统计信息4条；行政许可6条；政务公开要点2条；其他法定公开2条；政府信息年报1条。</w:t>
      </w:r>
    </w:p>
    <w:p w14:paraId="159F9DBE">
      <w:p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（二）依申请公开方面</w:t>
      </w:r>
    </w:p>
    <w:p w14:paraId="7CE4E62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2025年我局未收到政府信息公开申请。</w:t>
      </w:r>
    </w:p>
    <w:p w14:paraId="799A67F8">
      <w:pPr>
        <w:numPr>
          <w:ilvl w:val="0"/>
          <w:numId w:val="1"/>
        </w:num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政府信息管理</w:t>
      </w:r>
      <w:r>
        <w:rPr>
          <w:rFonts w:hint="eastAsia" w:ascii="楷体_GB2312" w:eastAsia="楷体_GB2312"/>
          <w:b/>
          <w:bCs/>
          <w:sz w:val="32"/>
          <w:szCs w:val="32"/>
          <w:lang w:val="en-US" w:eastAsia="zh-CN"/>
        </w:rPr>
        <w:t>方面</w:t>
      </w:r>
    </w:p>
    <w:p w14:paraId="1BB81C3E">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b w:val="0"/>
          <w:bCs w:val="0"/>
          <w:sz w:val="32"/>
          <w:szCs w:val="32"/>
        </w:rPr>
        <w:t>一是</w:t>
      </w:r>
      <w:r>
        <w:rPr>
          <w:rFonts w:hint="eastAsia" w:ascii="仿宋_GB2312" w:eastAsia="仿宋_GB2312"/>
          <w:sz w:val="32"/>
          <w:szCs w:val="32"/>
        </w:rPr>
        <w:t>加强队伍保障。因人事调整变动，2025年我局按照领导职责分工重新调整信息公开小组，由党政综合办公室牵头，各股室配合，选配1名工作人员负责政府信息公开材料的收集、审核、发布，规范政府信息公开目录清单，保证政务信息公开工作的日常化、制度化、规范化，确保信息内容更加全面、准确、及时。</w:t>
      </w:r>
      <w:r>
        <w:rPr>
          <w:rFonts w:hint="eastAsia" w:ascii="仿宋_GB2312" w:eastAsia="仿宋_GB2312"/>
          <w:b w:val="0"/>
          <w:bCs w:val="0"/>
          <w:sz w:val="32"/>
          <w:szCs w:val="32"/>
        </w:rPr>
        <w:t>二是</w:t>
      </w:r>
      <w:r>
        <w:rPr>
          <w:rFonts w:hint="eastAsia" w:ascii="仿宋_GB2312" w:eastAsia="仿宋_GB2312"/>
          <w:sz w:val="32"/>
          <w:szCs w:val="32"/>
        </w:rPr>
        <w:t>严格制度落实。完善了《信息公开发布审核制度》《保密工作制度》，严把信息发布的政治关、政策关、保密审查关，严格执行“谁公开、谁审查、谁负责”等保密审查规定，严密防范表述错误、泄密、负面舆情等情况发生，确保发布信息正确、规范。目前，我局政府信息公开工作运行顺畅，信息公开咨询以及申请等工作开展顺利。</w:t>
      </w:r>
    </w:p>
    <w:p w14:paraId="41EAA9B8">
      <w:pPr>
        <w:spacing w:line="560" w:lineRule="exact"/>
        <w:ind w:firstLine="643" w:firstLineChars="200"/>
        <w:rPr>
          <w:rFonts w:hint="eastAsia" w:ascii="楷体_GB2312" w:eastAsia="楷体_GB2312"/>
          <w:b/>
          <w:bCs/>
          <w:sz w:val="32"/>
          <w:szCs w:val="32"/>
          <w:lang w:eastAsia="zh-CN"/>
        </w:rPr>
      </w:pPr>
      <w:r>
        <w:rPr>
          <w:rFonts w:hint="eastAsia" w:ascii="楷体_GB2312" w:eastAsia="楷体_GB2312"/>
          <w:b/>
          <w:bCs/>
          <w:sz w:val="32"/>
          <w:szCs w:val="32"/>
        </w:rPr>
        <w:t>（四）平台建设</w:t>
      </w:r>
      <w:r>
        <w:rPr>
          <w:rFonts w:hint="eastAsia" w:ascii="楷体_GB2312" w:eastAsia="楷体_GB2312"/>
          <w:b/>
          <w:bCs/>
          <w:sz w:val="32"/>
          <w:szCs w:val="32"/>
          <w:lang w:val="en-US" w:eastAsia="zh-CN"/>
        </w:rPr>
        <w:t>方面</w:t>
      </w:r>
    </w:p>
    <w:p w14:paraId="589AE7E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年以来，我局不断加大政府信息公开力度，积极推进权力运行公开化、规范化，主动向社会公开，增强透明度，打造群众“能看到、易获取、用得上”的政务公开专区，不断增强线下政务公开实效，切实保障公众的知情权、参与权和监督权，提升群众获得感、幸福感。加强“正宁市场监管”微信公众号运营管理，及时发布文件精神，发布各站所工作动态和工作成效，主动向群众公开食品安全等相关法律典型案例情况。</w:t>
      </w:r>
    </w:p>
    <w:p w14:paraId="5101973B">
      <w:p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五</w:t>
      </w:r>
      <w:r>
        <w:rPr>
          <w:rFonts w:hint="eastAsia" w:ascii="楷体_GB2312" w:eastAsia="楷体_GB2312"/>
          <w:b/>
          <w:bCs/>
          <w:sz w:val="32"/>
          <w:szCs w:val="32"/>
          <w:lang w:eastAsia="zh-CN"/>
        </w:rPr>
        <w:t>）</w:t>
      </w:r>
      <w:r>
        <w:rPr>
          <w:rFonts w:hint="eastAsia" w:ascii="楷体_GB2312" w:eastAsia="楷体_GB2312"/>
          <w:b/>
          <w:bCs/>
          <w:sz w:val="32"/>
          <w:szCs w:val="32"/>
        </w:rPr>
        <w:t>监</w:t>
      </w:r>
      <w:bookmarkStart w:id="0" w:name="OLE_LINK1"/>
      <w:r>
        <w:rPr>
          <w:rFonts w:hint="eastAsia" w:ascii="楷体_GB2312" w:eastAsia="楷体_GB2312"/>
          <w:b/>
          <w:bCs/>
          <w:sz w:val="32"/>
          <w:szCs w:val="32"/>
        </w:rPr>
        <w:t>督保障</w:t>
      </w:r>
      <w:r>
        <w:rPr>
          <w:rFonts w:hint="eastAsia" w:ascii="楷体_GB2312" w:eastAsia="楷体_GB2312"/>
          <w:b/>
          <w:bCs/>
          <w:sz w:val="32"/>
          <w:szCs w:val="32"/>
          <w:lang w:val="en-US" w:eastAsia="zh-CN"/>
        </w:rPr>
        <w:t>方面</w:t>
      </w:r>
      <w:bookmarkEnd w:id="0"/>
    </w:p>
    <w:p w14:paraId="4EF5DD88">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强化工作指导监督。严格落实信息发布、政策解读和政务舆情回应主体责任，分管领导负责分管领域信息公开审核，加强政务舆情监测和风险研判，协调解决政务公开工作中所涉及的重要问题。二是引入社会监督力量。通过设立举报电话、政务公开互动等方式鼓励广大群众积极参与政务公开监督工作，认真听取群众意见，真心解答群众疑惑，保障群众监督权。</w:t>
      </w:r>
    </w:p>
    <w:p w14:paraId="6240792D">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二、主动公开政府信息情况</w:t>
      </w:r>
    </w:p>
    <w:tbl>
      <w:tblPr>
        <w:tblStyle w:val="18"/>
        <w:tblW w:w="9284" w:type="dxa"/>
        <w:tblInd w:w="0" w:type="dxa"/>
        <w:tblLayout w:type="autofit"/>
        <w:tblCellMar>
          <w:top w:w="0" w:type="dxa"/>
          <w:left w:w="0" w:type="dxa"/>
          <w:bottom w:w="0" w:type="dxa"/>
          <w:right w:w="0" w:type="dxa"/>
        </w:tblCellMar>
      </w:tblPr>
      <w:tblGrid>
        <w:gridCol w:w="2092"/>
        <w:gridCol w:w="2397"/>
        <w:gridCol w:w="2397"/>
        <w:gridCol w:w="2398"/>
      </w:tblGrid>
      <w:tr w14:paraId="7E5F3AD9">
        <w:tblPrEx>
          <w:tblCellMar>
            <w:top w:w="0" w:type="dxa"/>
            <w:left w:w="0" w:type="dxa"/>
            <w:bottom w:w="0" w:type="dxa"/>
            <w:right w:w="0" w:type="dxa"/>
          </w:tblCellMar>
        </w:tblPrEx>
        <w:trPr>
          <w:trHeight w:val="343" w:hRule="atLeast"/>
        </w:trPr>
        <w:tc>
          <w:tcPr>
            <w:tcW w:w="9284"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14:paraId="670CA2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黑体" w:hAnsi="黑体" w:eastAsia="黑体" w:cs="黑体"/>
                <w:color w:val="000000"/>
                <w:kern w:val="0"/>
                <w:sz w:val="20"/>
                <w:szCs w:val="20"/>
                <w:lang w:val="en-US" w:eastAsia="zh-CN" w:bidi="ar"/>
              </w:rPr>
              <w:t>第二十条第（一）项</w:t>
            </w:r>
          </w:p>
        </w:tc>
      </w:tr>
      <w:tr w14:paraId="048FA682">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43EB1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信息内容</w:t>
            </w:r>
          </w:p>
        </w:tc>
        <w:tc>
          <w:tcPr>
            <w:tcW w:w="2397"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69542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397"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5DFDD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本年废止件数</w:t>
            </w:r>
          </w:p>
        </w:tc>
        <w:tc>
          <w:tcPr>
            <w:tcW w:w="2398"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129E0B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7BE99A11">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66248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bookmarkStart w:id="1" w:name="OLE_LINK4" w:colFirst="1" w:colLast="3"/>
            <w:r>
              <w:rPr>
                <w:rFonts w:hint="eastAsia" w:ascii="Times New Roman" w:hAnsi="Times New Roman" w:eastAsia="宋体" w:cs="宋体"/>
                <w:color w:val="000000"/>
                <w:kern w:val="0"/>
                <w:sz w:val="20"/>
                <w:szCs w:val="20"/>
                <w:lang w:val="en-US" w:eastAsia="zh-CN" w:bidi="ar"/>
              </w:rPr>
              <w:t>规章</w:t>
            </w:r>
          </w:p>
        </w:tc>
        <w:tc>
          <w:tcPr>
            <w:tcW w:w="2397" w:type="dxa"/>
            <w:tcBorders>
              <w:top w:val="nil"/>
              <w:left w:val="nil"/>
              <w:bottom w:val="single" w:color="000000" w:sz="6" w:space="0"/>
              <w:right w:val="single" w:color="000000" w:sz="6" w:space="0"/>
            </w:tcBorders>
            <w:tcMar>
              <w:top w:w="0" w:type="dxa"/>
              <w:left w:w="60" w:type="dxa"/>
              <w:bottom w:w="0" w:type="dxa"/>
              <w:right w:w="60" w:type="dxa"/>
            </w:tcMar>
            <w:vAlign w:val="center"/>
          </w:tcPr>
          <w:p w14:paraId="68BCB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c>
          <w:tcPr>
            <w:tcW w:w="2397" w:type="dxa"/>
            <w:tcBorders>
              <w:top w:val="nil"/>
              <w:left w:val="nil"/>
              <w:bottom w:val="single" w:color="000000" w:sz="6" w:space="0"/>
              <w:right w:val="single" w:color="000000" w:sz="6" w:space="0"/>
            </w:tcBorders>
            <w:tcMar>
              <w:top w:w="0" w:type="dxa"/>
              <w:left w:w="60" w:type="dxa"/>
              <w:bottom w:w="0" w:type="dxa"/>
              <w:right w:w="60" w:type="dxa"/>
            </w:tcMar>
            <w:vAlign w:val="center"/>
          </w:tcPr>
          <w:p w14:paraId="17214A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c>
          <w:tcPr>
            <w:tcW w:w="2398" w:type="dxa"/>
            <w:tcBorders>
              <w:top w:val="nil"/>
              <w:left w:val="nil"/>
              <w:bottom w:val="single" w:color="000000" w:sz="6" w:space="0"/>
              <w:right w:val="single" w:color="000000" w:sz="6" w:space="0"/>
            </w:tcBorders>
            <w:tcMar>
              <w:top w:w="0" w:type="dxa"/>
              <w:left w:w="60" w:type="dxa"/>
              <w:bottom w:w="0" w:type="dxa"/>
              <w:right w:w="60" w:type="dxa"/>
            </w:tcMar>
            <w:vAlign w:val="center"/>
          </w:tcPr>
          <w:p w14:paraId="6C13C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bookmarkEnd w:id="1"/>
      <w:tr w14:paraId="005325A2">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5D679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行政规范性文件</w:t>
            </w:r>
          </w:p>
        </w:tc>
        <w:tc>
          <w:tcPr>
            <w:tcW w:w="2397" w:type="dxa"/>
            <w:tcBorders>
              <w:top w:val="nil"/>
              <w:left w:val="nil"/>
              <w:bottom w:val="single" w:color="000000" w:sz="6" w:space="0"/>
              <w:right w:val="single" w:color="000000" w:sz="6" w:space="0"/>
            </w:tcBorders>
            <w:tcMar>
              <w:top w:w="0" w:type="dxa"/>
              <w:left w:w="60" w:type="dxa"/>
              <w:bottom w:w="0" w:type="dxa"/>
              <w:right w:w="60" w:type="dxa"/>
            </w:tcMar>
            <w:vAlign w:val="center"/>
          </w:tcPr>
          <w:p w14:paraId="5F5B8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theme="minorBidi"/>
                <w:kern w:val="2"/>
                <w:sz w:val="20"/>
                <w:szCs w:val="20"/>
                <w:lang w:val="en-US" w:eastAsia="zh-CN" w:bidi="ar-SA"/>
              </w:rPr>
            </w:pPr>
            <w:r>
              <w:rPr>
                <w:rFonts w:hint="eastAsia" w:ascii="宋体" w:hAnsi="宋体" w:eastAsia="宋体"/>
                <w:sz w:val="20"/>
                <w:szCs w:val="20"/>
                <w:lang w:val="en-US" w:eastAsia="zh-CN"/>
              </w:rPr>
              <w:t>0</w:t>
            </w:r>
          </w:p>
        </w:tc>
        <w:tc>
          <w:tcPr>
            <w:tcW w:w="2397" w:type="dxa"/>
            <w:tcBorders>
              <w:top w:val="nil"/>
              <w:left w:val="nil"/>
              <w:bottom w:val="single" w:color="000000" w:sz="6" w:space="0"/>
              <w:right w:val="single" w:color="000000" w:sz="6" w:space="0"/>
            </w:tcBorders>
            <w:tcMar>
              <w:top w:w="0" w:type="dxa"/>
              <w:left w:w="60" w:type="dxa"/>
              <w:bottom w:w="0" w:type="dxa"/>
              <w:right w:w="60" w:type="dxa"/>
            </w:tcMar>
            <w:vAlign w:val="center"/>
          </w:tcPr>
          <w:p w14:paraId="76E10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theme="minorBidi"/>
                <w:kern w:val="2"/>
                <w:sz w:val="20"/>
                <w:szCs w:val="20"/>
                <w:lang w:val="en-US" w:eastAsia="zh-CN" w:bidi="ar-SA"/>
              </w:rPr>
            </w:pPr>
            <w:r>
              <w:rPr>
                <w:rFonts w:hint="eastAsia" w:ascii="宋体" w:hAnsi="宋体" w:eastAsia="宋体"/>
                <w:sz w:val="20"/>
                <w:szCs w:val="20"/>
                <w:lang w:val="en-US" w:eastAsia="zh-CN"/>
              </w:rPr>
              <w:t>0</w:t>
            </w:r>
          </w:p>
        </w:tc>
        <w:tc>
          <w:tcPr>
            <w:tcW w:w="2398" w:type="dxa"/>
            <w:tcBorders>
              <w:top w:val="nil"/>
              <w:left w:val="nil"/>
              <w:bottom w:val="single" w:color="000000" w:sz="6" w:space="0"/>
              <w:right w:val="single" w:color="000000" w:sz="6" w:space="0"/>
            </w:tcBorders>
            <w:tcMar>
              <w:top w:w="0" w:type="dxa"/>
              <w:left w:w="60" w:type="dxa"/>
              <w:bottom w:w="0" w:type="dxa"/>
              <w:right w:w="60" w:type="dxa"/>
            </w:tcMar>
            <w:vAlign w:val="center"/>
          </w:tcPr>
          <w:p w14:paraId="35CAE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theme="minorBidi"/>
                <w:kern w:val="2"/>
                <w:sz w:val="20"/>
                <w:szCs w:val="20"/>
                <w:lang w:val="en-US" w:eastAsia="zh-CN" w:bidi="ar-SA"/>
              </w:rPr>
            </w:pPr>
            <w:r>
              <w:rPr>
                <w:rFonts w:hint="eastAsia" w:ascii="宋体" w:hAnsi="宋体" w:eastAsia="宋体"/>
                <w:sz w:val="20"/>
                <w:szCs w:val="20"/>
                <w:lang w:val="en-US" w:eastAsia="zh-CN"/>
              </w:rPr>
              <w:t>0</w:t>
            </w:r>
          </w:p>
        </w:tc>
      </w:tr>
      <w:tr w14:paraId="1F2982ED">
        <w:tblPrEx>
          <w:tblCellMar>
            <w:top w:w="0" w:type="dxa"/>
            <w:left w:w="0" w:type="dxa"/>
            <w:bottom w:w="0" w:type="dxa"/>
            <w:right w:w="0" w:type="dxa"/>
          </w:tblCellMar>
        </w:tblPrEx>
        <w:trPr>
          <w:trHeight w:val="343" w:hRule="atLeast"/>
        </w:trPr>
        <w:tc>
          <w:tcPr>
            <w:tcW w:w="9284" w:type="dxa"/>
            <w:gridSpan w:val="4"/>
            <w:tcBorders>
              <w:top w:val="nil"/>
              <w:left w:val="single" w:color="333333" w:sz="6" w:space="0"/>
              <w:bottom w:val="single" w:color="333333" w:sz="6" w:space="0"/>
              <w:right w:val="single" w:color="333333" w:sz="6" w:space="0"/>
            </w:tcBorders>
            <w:shd w:val="clear" w:color="auto" w:fill="C6D9F1"/>
            <w:tcMar>
              <w:top w:w="0" w:type="dxa"/>
              <w:left w:w="60" w:type="dxa"/>
              <w:bottom w:w="0" w:type="dxa"/>
              <w:right w:w="60" w:type="dxa"/>
            </w:tcMar>
            <w:vAlign w:val="center"/>
          </w:tcPr>
          <w:p w14:paraId="21D30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黑体" w:hAnsi="黑体" w:eastAsia="黑体" w:cs="黑体"/>
                <w:color w:val="000000"/>
                <w:kern w:val="0"/>
                <w:sz w:val="20"/>
                <w:szCs w:val="20"/>
                <w:lang w:val="en-US" w:eastAsia="zh-CN" w:bidi="ar"/>
              </w:rPr>
              <w:t>第二十条第（五）项</w:t>
            </w:r>
          </w:p>
        </w:tc>
      </w:tr>
      <w:tr w14:paraId="586A15D1">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20FC0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信息内容</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58BF0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本年处理决定数量</w:t>
            </w:r>
          </w:p>
        </w:tc>
      </w:tr>
      <w:tr w14:paraId="6EB964E7">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44811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行政许可</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40780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sz w:val="22"/>
                <w:lang w:val="en-US" w:eastAsia="zh-CN"/>
              </w:rPr>
            </w:pPr>
            <w:r>
              <w:rPr>
                <w:rFonts w:hint="eastAsia" w:ascii="宋体" w:hAnsi="宋体" w:eastAsia="宋体"/>
                <w:sz w:val="20"/>
                <w:szCs w:val="20"/>
                <w:lang w:val="en-US" w:eastAsia="zh-CN"/>
              </w:rPr>
              <w:t>1827</w:t>
            </w:r>
          </w:p>
        </w:tc>
      </w:tr>
      <w:tr w14:paraId="1004876E">
        <w:tblPrEx>
          <w:tblCellMar>
            <w:top w:w="0" w:type="dxa"/>
            <w:left w:w="0" w:type="dxa"/>
            <w:bottom w:w="0" w:type="dxa"/>
            <w:right w:w="0" w:type="dxa"/>
          </w:tblCellMar>
        </w:tblPrEx>
        <w:trPr>
          <w:trHeight w:val="343" w:hRule="atLeast"/>
        </w:trPr>
        <w:tc>
          <w:tcPr>
            <w:tcW w:w="9284" w:type="dxa"/>
            <w:gridSpan w:val="4"/>
            <w:tcBorders>
              <w:top w:val="nil"/>
              <w:left w:val="single" w:color="333333" w:sz="6" w:space="0"/>
              <w:bottom w:val="single" w:color="333333" w:sz="6" w:space="0"/>
              <w:right w:val="single" w:color="333333" w:sz="6" w:space="0"/>
            </w:tcBorders>
            <w:shd w:val="clear" w:color="auto" w:fill="C6D9F1"/>
            <w:tcMar>
              <w:top w:w="0" w:type="dxa"/>
              <w:left w:w="60" w:type="dxa"/>
              <w:bottom w:w="0" w:type="dxa"/>
              <w:right w:w="60" w:type="dxa"/>
            </w:tcMar>
            <w:vAlign w:val="center"/>
          </w:tcPr>
          <w:p w14:paraId="217CC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黑体" w:hAnsi="黑体" w:eastAsia="黑体" w:cs="黑体"/>
                <w:color w:val="000000"/>
                <w:kern w:val="0"/>
                <w:sz w:val="20"/>
                <w:szCs w:val="20"/>
                <w:lang w:val="en-US" w:eastAsia="zh-CN" w:bidi="ar"/>
              </w:rPr>
              <w:t>第二十条第（六）项</w:t>
            </w:r>
          </w:p>
        </w:tc>
      </w:tr>
      <w:tr w14:paraId="0F725E48">
        <w:tblPrEx>
          <w:tblCellMar>
            <w:top w:w="0" w:type="dxa"/>
            <w:left w:w="0" w:type="dxa"/>
            <w:bottom w:w="0" w:type="dxa"/>
            <w:right w:w="0" w:type="dxa"/>
          </w:tblCellMar>
        </w:tblPrEx>
        <w:trPr>
          <w:trHeight w:val="538"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517840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信息内容</w:t>
            </w:r>
          </w:p>
        </w:tc>
        <w:tc>
          <w:tcPr>
            <w:tcW w:w="7192" w:type="dxa"/>
            <w:gridSpan w:val="3"/>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8AE1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本年处理决定数量</w:t>
            </w:r>
          </w:p>
        </w:tc>
      </w:tr>
      <w:tr w14:paraId="3DCC4857">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21729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行政处罚</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3D7CF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sz w:val="22"/>
                <w:lang w:val="en-US" w:eastAsia="zh-CN"/>
              </w:rPr>
            </w:pPr>
            <w:r>
              <w:rPr>
                <w:rFonts w:hint="eastAsia" w:ascii="宋体" w:hAnsi="宋体" w:eastAsia="宋体"/>
                <w:sz w:val="20"/>
                <w:szCs w:val="20"/>
                <w:lang w:val="en-US" w:eastAsia="zh-CN"/>
              </w:rPr>
              <w:t>66</w:t>
            </w:r>
          </w:p>
        </w:tc>
      </w:tr>
      <w:tr w14:paraId="67AD9ED3">
        <w:tblPrEx>
          <w:tblCellMar>
            <w:top w:w="0" w:type="dxa"/>
            <w:left w:w="0" w:type="dxa"/>
            <w:bottom w:w="0" w:type="dxa"/>
            <w:right w:w="0" w:type="dxa"/>
          </w:tblCellMar>
        </w:tblPrEx>
        <w:trPr>
          <w:trHeight w:val="343"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4316C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行政强制</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21C24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lang w:val="en-US" w:eastAsia="zh-CN"/>
              </w:rPr>
            </w:pPr>
            <w:r>
              <w:rPr>
                <w:rFonts w:hint="eastAsia" w:ascii="宋体" w:hAnsi="宋体" w:eastAsia="宋体"/>
                <w:sz w:val="22"/>
                <w:lang w:val="en-US" w:eastAsia="zh-CN"/>
              </w:rPr>
              <w:t>0</w:t>
            </w:r>
          </w:p>
        </w:tc>
      </w:tr>
      <w:tr w14:paraId="1F8E069E">
        <w:tblPrEx>
          <w:tblCellMar>
            <w:top w:w="0" w:type="dxa"/>
            <w:left w:w="0" w:type="dxa"/>
            <w:bottom w:w="0" w:type="dxa"/>
            <w:right w:w="0" w:type="dxa"/>
          </w:tblCellMar>
        </w:tblPrEx>
        <w:trPr>
          <w:trHeight w:val="343" w:hRule="atLeast"/>
        </w:trPr>
        <w:tc>
          <w:tcPr>
            <w:tcW w:w="9284" w:type="dxa"/>
            <w:gridSpan w:val="4"/>
            <w:tcBorders>
              <w:top w:val="nil"/>
              <w:left w:val="single" w:color="333333" w:sz="6" w:space="0"/>
              <w:bottom w:val="single" w:color="333333" w:sz="6" w:space="0"/>
              <w:right w:val="single" w:color="333333" w:sz="6" w:space="0"/>
            </w:tcBorders>
            <w:shd w:val="clear" w:color="auto" w:fill="C6D9F1"/>
            <w:tcMar>
              <w:top w:w="0" w:type="dxa"/>
              <w:left w:w="60" w:type="dxa"/>
              <w:bottom w:w="0" w:type="dxa"/>
              <w:right w:w="60" w:type="dxa"/>
            </w:tcMar>
            <w:vAlign w:val="center"/>
          </w:tcPr>
          <w:p w14:paraId="79A97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黑体" w:hAnsi="黑体" w:eastAsia="黑体" w:cs="黑体"/>
                <w:color w:val="000000"/>
                <w:kern w:val="0"/>
                <w:sz w:val="20"/>
                <w:szCs w:val="20"/>
                <w:lang w:val="en-US" w:eastAsia="zh-CN" w:bidi="ar"/>
              </w:rPr>
              <w:t>第二十条第（八）项</w:t>
            </w:r>
          </w:p>
        </w:tc>
      </w:tr>
      <w:tr w14:paraId="58E2047C">
        <w:tblPrEx>
          <w:tblCellMar>
            <w:top w:w="0" w:type="dxa"/>
            <w:left w:w="0" w:type="dxa"/>
            <w:bottom w:w="0" w:type="dxa"/>
            <w:right w:w="0" w:type="dxa"/>
          </w:tblCellMar>
        </w:tblPrEx>
        <w:trPr>
          <w:trHeight w:val="508"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0F365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信息内容</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234E8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本年收费金额（单位：万元）</w:t>
            </w:r>
          </w:p>
        </w:tc>
      </w:tr>
      <w:tr w14:paraId="3BBD250F">
        <w:tblPrEx>
          <w:tblCellMar>
            <w:top w:w="0" w:type="dxa"/>
            <w:left w:w="0" w:type="dxa"/>
            <w:bottom w:w="0" w:type="dxa"/>
            <w:right w:w="0" w:type="dxa"/>
          </w:tblCellMar>
        </w:tblPrEx>
        <w:trPr>
          <w:trHeight w:val="358" w:hRule="atLeast"/>
        </w:trPr>
        <w:tc>
          <w:tcPr>
            <w:tcW w:w="2092" w:type="dxa"/>
            <w:tcBorders>
              <w:top w:val="nil"/>
              <w:left w:val="single" w:color="333333" w:sz="6" w:space="0"/>
              <w:bottom w:val="single" w:color="333333" w:sz="6" w:space="0"/>
              <w:right w:val="single" w:color="333333" w:sz="6" w:space="0"/>
            </w:tcBorders>
            <w:tcMar>
              <w:top w:w="0" w:type="dxa"/>
              <w:left w:w="60" w:type="dxa"/>
              <w:bottom w:w="0" w:type="dxa"/>
              <w:right w:w="60" w:type="dxa"/>
            </w:tcMar>
            <w:vAlign w:val="center"/>
          </w:tcPr>
          <w:p w14:paraId="00872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sz w:val="22"/>
              </w:rPr>
            </w:pPr>
            <w:r>
              <w:rPr>
                <w:rFonts w:hint="eastAsia" w:ascii="Times New Roman" w:hAnsi="Times New Roman" w:eastAsia="宋体" w:cs="宋体"/>
                <w:color w:val="000000"/>
                <w:kern w:val="0"/>
                <w:sz w:val="20"/>
                <w:szCs w:val="20"/>
                <w:lang w:val="en-US" w:eastAsia="zh-CN" w:bidi="ar"/>
              </w:rPr>
              <w:t>行政事业性收费</w:t>
            </w:r>
          </w:p>
        </w:tc>
        <w:tc>
          <w:tcPr>
            <w:tcW w:w="7192" w:type="dxa"/>
            <w:gridSpan w:val="3"/>
            <w:tcBorders>
              <w:top w:val="nil"/>
              <w:left w:val="nil"/>
              <w:bottom w:val="single" w:color="000000" w:sz="6" w:space="0"/>
              <w:right w:val="single" w:color="000000" w:sz="6" w:space="0"/>
            </w:tcBorders>
            <w:tcMar>
              <w:top w:w="0" w:type="dxa"/>
              <w:left w:w="60" w:type="dxa"/>
              <w:bottom w:w="0" w:type="dxa"/>
              <w:right w:w="60" w:type="dxa"/>
            </w:tcMar>
            <w:vAlign w:val="center"/>
          </w:tcPr>
          <w:p w14:paraId="5EE4194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sz w:val="22"/>
                <w:lang w:val="en-US" w:eastAsia="zh-CN"/>
              </w:rPr>
            </w:pPr>
            <w:r>
              <w:rPr>
                <w:rFonts w:hint="eastAsia" w:ascii="宋体" w:hAnsi="宋体" w:eastAsia="宋体"/>
                <w:sz w:val="22"/>
                <w:lang w:val="en-US" w:eastAsia="zh-CN"/>
              </w:rPr>
              <w:t>0</w:t>
            </w:r>
          </w:p>
        </w:tc>
      </w:tr>
    </w:tbl>
    <w:p w14:paraId="0065BEFD">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三、收到和处理政府信息公开申请情况</w:t>
      </w:r>
    </w:p>
    <w:tbl>
      <w:tblPr>
        <w:tblStyle w:val="18"/>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481"/>
        <w:gridCol w:w="646"/>
        <w:gridCol w:w="663"/>
        <w:gridCol w:w="680"/>
        <w:gridCol w:w="714"/>
        <w:gridCol w:w="714"/>
        <w:gridCol w:w="680"/>
        <w:gridCol w:w="680"/>
      </w:tblGrid>
      <w:tr w14:paraId="14D4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073" w:type="dxa"/>
            <w:gridSpan w:val="3"/>
            <w:vMerge w:val="restart"/>
            <w:noWrap w:val="0"/>
            <w:tcMar>
              <w:left w:w="108" w:type="dxa"/>
              <w:right w:w="108" w:type="dxa"/>
            </w:tcMar>
            <w:vAlign w:val="center"/>
          </w:tcPr>
          <w:p w14:paraId="75EC2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777" w:type="dxa"/>
            <w:gridSpan w:val="7"/>
            <w:noWrap w:val="0"/>
            <w:tcMar>
              <w:left w:w="57" w:type="dxa"/>
              <w:right w:w="57" w:type="dxa"/>
            </w:tcMar>
            <w:vAlign w:val="center"/>
          </w:tcPr>
          <w:p w14:paraId="09A12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7E51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073" w:type="dxa"/>
            <w:gridSpan w:val="3"/>
            <w:vMerge w:val="continue"/>
            <w:noWrap w:val="0"/>
            <w:tcMar>
              <w:left w:w="108" w:type="dxa"/>
              <w:right w:w="108" w:type="dxa"/>
            </w:tcMar>
            <w:vAlign w:val="center"/>
          </w:tcPr>
          <w:p w14:paraId="067DEDED">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646" w:type="dxa"/>
            <w:vMerge w:val="restart"/>
            <w:noWrap w:val="0"/>
            <w:tcMar>
              <w:left w:w="57" w:type="dxa"/>
              <w:right w:w="57" w:type="dxa"/>
            </w:tcMar>
            <w:vAlign w:val="center"/>
          </w:tcPr>
          <w:p w14:paraId="19885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51" w:type="dxa"/>
            <w:gridSpan w:val="5"/>
            <w:noWrap w:val="0"/>
            <w:tcMar>
              <w:left w:w="57" w:type="dxa"/>
              <w:right w:w="57" w:type="dxa"/>
            </w:tcMar>
            <w:vAlign w:val="center"/>
          </w:tcPr>
          <w:p w14:paraId="2EC76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1DD54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1070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4073" w:type="dxa"/>
            <w:gridSpan w:val="3"/>
            <w:vMerge w:val="continue"/>
            <w:noWrap w:val="0"/>
            <w:tcMar>
              <w:left w:w="108" w:type="dxa"/>
              <w:right w:w="108" w:type="dxa"/>
            </w:tcMar>
            <w:vAlign w:val="center"/>
          </w:tcPr>
          <w:p w14:paraId="0A164401">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646" w:type="dxa"/>
            <w:vMerge w:val="continue"/>
            <w:noWrap w:val="0"/>
            <w:tcMar>
              <w:left w:w="57" w:type="dxa"/>
              <w:right w:w="57" w:type="dxa"/>
            </w:tcMar>
            <w:vAlign w:val="center"/>
          </w:tcPr>
          <w:p w14:paraId="2CF9C8CA">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63" w:type="dxa"/>
            <w:noWrap w:val="0"/>
            <w:tcMar>
              <w:left w:w="57" w:type="dxa"/>
              <w:right w:w="57" w:type="dxa"/>
            </w:tcMar>
            <w:vAlign w:val="center"/>
          </w:tcPr>
          <w:p w14:paraId="1F14C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310B1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CBE2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2DBAE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1BFDB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19EFFD7">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7EBF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073" w:type="dxa"/>
            <w:gridSpan w:val="3"/>
            <w:noWrap w:val="0"/>
            <w:tcMar>
              <w:left w:w="57" w:type="dxa"/>
              <w:right w:w="57" w:type="dxa"/>
            </w:tcMar>
            <w:vAlign w:val="center"/>
          </w:tcPr>
          <w:p w14:paraId="2EDB2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bookmarkStart w:id="2" w:name="OLE_LINK3" w:colFirst="1" w:colLast="7"/>
            <w:bookmarkStart w:id="3" w:name="OLE_LINK2" w:colFirst="1" w:colLast="9"/>
            <w:r>
              <w:rPr>
                <w:rFonts w:hint="eastAsia" w:ascii="Times New Roman" w:hAnsi="Times New Roman" w:eastAsia="宋体" w:cs="宋体"/>
                <w:kern w:val="0"/>
                <w:sz w:val="20"/>
                <w:szCs w:val="20"/>
                <w:lang w:val="en-US" w:eastAsia="zh-CN" w:bidi="ar"/>
              </w:rPr>
              <w:t>一、本年新收政府信息公开申请数量</w:t>
            </w:r>
          </w:p>
        </w:tc>
        <w:tc>
          <w:tcPr>
            <w:tcW w:w="646" w:type="dxa"/>
            <w:noWrap w:val="0"/>
            <w:tcMar>
              <w:left w:w="57" w:type="dxa"/>
              <w:right w:w="57" w:type="dxa"/>
            </w:tcMar>
            <w:vAlign w:val="center"/>
          </w:tcPr>
          <w:p w14:paraId="1E4E8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5AA7D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89B1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CC63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C032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6469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D14C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r>
      <w:bookmarkEnd w:id="2"/>
      <w:tr w14:paraId="1B25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073" w:type="dxa"/>
            <w:gridSpan w:val="3"/>
            <w:noWrap w:val="0"/>
            <w:tcMar>
              <w:left w:w="57" w:type="dxa"/>
              <w:right w:w="57" w:type="dxa"/>
            </w:tcMar>
            <w:vAlign w:val="center"/>
          </w:tcPr>
          <w:p w14:paraId="7CE65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46" w:type="dxa"/>
            <w:noWrap w:val="0"/>
            <w:tcMar>
              <w:left w:w="57" w:type="dxa"/>
              <w:right w:w="57" w:type="dxa"/>
            </w:tcMar>
            <w:vAlign w:val="center"/>
          </w:tcPr>
          <w:p w14:paraId="41C2D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1BF1D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237D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3325AE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49D34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5327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68DB5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6954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5" w:type="dxa"/>
            <w:vMerge w:val="restart"/>
            <w:noWrap w:val="0"/>
            <w:tcMar>
              <w:left w:w="57" w:type="dxa"/>
              <w:right w:w="57" w:type="dxa"/>
            </w:tcMar>
            <w:vAlign w:val="center"/>
          </w:tcPr>
          <w:p w14:paraId="1E7D7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108" w:type="dxa"/>
            <w:gridSpan w:val="2"/>
            <w:noWrap w:val="0"/>
            <w:tcMar>
              <w:left w:w="57" w:type="dxa"/>
              <w:right w:w="57" w:type="dxa"/>
            </w:tcMar>
            <w:vAlign w:val="center"/>
          </w:tcPr>
          <w:p w14:paraId="39645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46" w:type="dxa"/>
            <w:noWrap w:val="0"/>
            <w:tcMar>
              <w:left w:w="57" w:type="dxa"/>
              <w:right w:w="57" w:type="dxa"/>
            </w:tcMar>
            <w:vAlign w:val="center"/>
          </w:tcPr>
          <w:p w14:paraId="5415F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22401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8B9E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0718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6B931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9BA3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64E5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02CB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5" w:type="dxa"/>
            <w:vMerge w:val="continue"/>
            <w:noWrap w:val="0"/>
            <w:tcMar>
              <w:left w:w="57" w:type="dxa"/>
              <w:right w:w="57" w:type="dxa"/>
            </w:tcMar>
            <w:vAlign w:val="center"/>
          </w:tcPr>
          <w:p w14:paraId="55BC4B1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108" w:type="dxa"/>
            <w:gridSpan w:val="2"/>
            <w:noWrap w:val="0"/>
            <w:tcMar>
              <w:left w:w="57" w:type="dxa"/>
              <w:right w:w="57" w:type="dxa"/>
            </w:tcMar>
            <w:vAlign w:val="center"/>
          </w:tcPr>
          <w:p w14:paraId="50249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46" w:type="dxa"/>
            <w:noWrap w:val="0"/>
            <w:tcMar>
              <w:left w:w="57" w:type="dxa"/>
              <w:right w:w="57" w:type="dxa"/>
            </w:tcMar>
            <w:vAlign w:val="center"/>
          </w:tcPr>
          <w:p w14:paraId="285DB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4B673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B8A9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18D9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DA06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3E47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3FB3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7AF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5" w:type="dxa"/>
            <w:vMerge w:val="continue"/>
            <w:noWrap w:val="0"/>
            <w:tcMar>
              <w:left w:w="57" w:type="dxa"/>
              <w:right w:w="57" w:type="dxa"/>
            </w:tcMar>
            <w:vAlign w:val="center"/>
          </w:tcPr>
          <w:p w14:paraId="375DBC2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66D30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481" w:type="dxa"/>
            <w:noWrap w:val="0"/>
            <w:tcMar>
              <w:left w:w="57" w:type="dxa"/>
              <w:right w:w="57" w:type="dxa"/>
            </w:tcMar>
            <w:vAlign w:val="center"/>
          </w:tcPr>
          <w:p w14:paraId="7A7B1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46" w:type="dxa"/>
            <w:noWrap w:val="0"/>
            <w:tcMar>
              <w:left w:w="57" w:type="dxa"/>
              <w:right w:w="57" w:type="dxa"/>
            </w:tcMar>
            <w:vAlign w:val="center"/>
          </w:tcPr>
          <w:p w14:paraId="53C18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17F32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C342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47E8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BCC5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091C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5B0C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610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65" w:type="dxa"/>
            <w:vMerge w:val="continue"/>
            <w:noWrap w:val="0"/>
            <w:tcMar>
              <w:left w:w="57" w:type="dxa"/>
              <w:right w:w="57" w:type="dxa"/>
            </w:tcMar>
            <w:vAlign w:val="center"/>
          </w:tcPr>
          <w:p w14:paraId="54FF0A1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84BA8E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3F2D7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46" w:type="dxa"/>
            <w:noWrap w:val="0"/>
            <w:tcMar>
              <w:left w:w="57" w:type="dxa"/>
              <w:right w:w="57" w:type="dxa"/>
            </w:tcMar>
            <w:vAlign w:val="center"/>
          </w:tcPr>
          <w:p w14:paraId="35F00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49BE8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F892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26D6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8417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53D7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FE89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A6A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275A4B1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E7FE3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7F6CF8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46" w:type="dxa"/>
            <w:noWrap w:val="0"/>
            <w:tcMar>
              <w:left w:w="57" w:type="dxa"/>
              <w:right w:w="57" w:type="dxa"/>
            </w:tcMar>
            <w:vAlign w:val="center"/>
          </w:tcPr>
          <w:p w14:paraId="46A13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2BD9B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3D49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F254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F987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B19A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FF6D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3FC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32EA0A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BEDDEE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5E6A3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46" w:type="dxa"/>
            <w:noWrap w:val="0"/>
            <w:tcMar>
              <w:left w:w="57" w:type="dxa"/>
              <w:right w:w="57" w:type="dxa"/>
            </w:tcMar>
            <w:vAlign w:val="center"/>
          </w:tcPr>
          <w:p w14:paraId="05E22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4B5E3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143D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5A0A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CBB4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B23C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5E81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1856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98DB34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08B346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4366A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46" w:type="dxa"/>
            <w:noWrap w:val="0"/>
            <w:tcMar>
              <w:left w:w="57" w:type="dxa"/>
              <w:right w:w="57" w:type="dxa"/>
            </w:tcMar>
            <w:vAlign w:val="center"/>
          </w:tcPr>
          <w:p w14:paraId="0AF04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98DF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D16D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71D6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788F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7B84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B798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1259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4D999DA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E72F3C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78604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46" w:type="dxa"/>
            <w:noWrap w:val="0"/>
            <w:tcMar>
              <w:left w:w="57" w:type="dxa"/>
              <w:right w:w="57" w:type="dxa"/>
            </w:tcMar>
            <w:vAlign w:val="center"/>
          </w:tcPr>
          <w:p w14:paraId="79051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31EAE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C2E57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3B9D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42D0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D9B4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54AD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56C2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E679CA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D0E5D2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73111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46" w:type="dxa"/>
            <w:noWrap w:val="0"/>
            <w:tcMar>
              <w:left w:w="57" w:type="dxa"/>
              <w:right w:w="57" w:type="dxa"/>
            </w:tcMar>
            <w:vAlign w:val="center"/>
          </w:tcPr>
          <w:p w14:paraId="048A2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4167D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D412E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7686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E008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4D50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43F8D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bookmarkEnd w:id="3"/>
      <w:tr w14:paraId="5306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4B570E1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B24080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610EC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46" w:type="dxa"/>
            <w:noWrap w:val="0"/>
            <w:tcMar>
              <w:left w:w="57" w:type="dxa"/>
              <w:right w:w="57" w:type="dxa"/>
            </w:tcMar>
            <w:vAlign w:val="center"/>
          </w:tcPr>
          <w:p w14:paraId="3375E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5E35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83F4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D3DB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3A8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6FC1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0CE7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r>
      <w:tr w14:paraId="7521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D4034E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A59B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481" w:type="dxa"/>
            <w:noWrap w:val="0"/>
            <w:tcMar>
              <w:left w:w="57" w:type="dxa"/>
              <w:right w:w="57" w:type="dxa"/>
            </w:tcMar>
            <w:vAlign w:val="center"/>
          </w:tcPr>
          <w:p w14:paraId="7EDFA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46" w:type="dxa"/>
            <w:noWrap w:val="0"/>
            <w:tcMar>
              <w:left w:w="57" w:type="dxa"/>
              <w:right w:w="57" w:type="dxa"/>
            </w:tcMar>
            <w:vAlign w:val="center"/>
          </w:tcPr>
          <w:p w14:paraId="4E3A9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15B24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EDC8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559D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79147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42EE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D61E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6E70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28FE292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CED19C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31AA5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46" w:type="dxa"/>
            <w:noWrap w:val="0"/>
            <w:tcMar>
              <w:left w:w="57" w:type="dxa"/>
              <w:right w:w="57" w:type="dxa"/>
            </w:tcMar>
            <w:vAlign w:val="center"/>
          </w:tcPr>
          <w:p w14:paraId="681FA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6427A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6203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1991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100E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7B1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95E9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3596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965" w:type="dxa"/>
            <w:vMerge w:val="continue"/>
            <w:noWrap w:val="0"/>
            <w:tcMar>
              <w:left w:w="57" w:type="dxa"/>
              <w:right w:w="57" w:type="dxa"/>
            </w:tcMar>
            <w:vAlign w:val="center"/>
          </w:tcPr>
          <w:p w14:paraId="42D946A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016CB0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1871EF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46" w:type="dxa"/>
            <w:noWrap w:val="0"/>
            <w:tcMar>
              <w:left w:w="57" w:type="dxa"/>
              <w:right w:w="57" w:type="dxa"/>
            </w:tcMar>
            <w:vAlign w:val="center"/>
          </w:tcPr>
          <w:p w14:paraId="739B1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EA67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B012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8B66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7BF32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F2D0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431B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16EE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16DE393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6E244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481" w:type="dxa"/>
            <w:noWrap w:val="0"/>
            <w:tcMar>
              <w:left w:w="57" w:type="dxa"/>
              <w:right w:w="57" w:type="dxa"/>
            </w:tcMar>
            <w:vAlign w:val="center"/>
          </w:tcPr>
          <w:p w14:paraId="16827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46" w:type="dxa"/>
            <w:noWrap w:val="0"/>
            <w:tcMar>
              <w:left w:w="57" w:type="dxa"/>
              <w:right w:w="57" w:type="dxa"/>
            </w:tcMar>
            <w:vAlign w:val="center"/>
          </w:tcPr>
          <w:p w14:paraId="2F232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1E7EA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8176F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3213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E825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3494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887F2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70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8C0E2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D012A6A">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771B2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46" w:type="dxa"/>
            <w:noWrap w:val="0"/>
            <w:tcMar>
              <w:left w:w="57" w:type="dxa"/>
              <w:right w:w="57" w:type="dxa"/>
            </w:tcMar>
            <w:vAlign w:val="center"/>
          </w:tcPr>
          <w:p w14:paraId="4B1C2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51846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B725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218C1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B949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E7D2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3129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55D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24177ED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78CE4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306D7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46" w:type="dxa"/>
            <w:noWrap w:val="0"/>
            <w:tcMar>
              <w:left w:w="57" w:type="dxa"/>
              <w:right w:w="57" w:type="dxa"/>
            </w:tcMar>
            <w:vAlign w:val="center"/>
          </w:tcPr>
          <w:p w14:paraId="66832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3D673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B7C7F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6083D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2C51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2953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27B3A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52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478EA68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80E58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08F6D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46" w:type="dxa"/>
            <w:noWrap w:val="0"/>
            <w:tcMar>
              <w:left w:w="57" w:type="dxa"/>
              <w:right w:w="57" w:type="dxa"/>
            </w:tcMar>
            <w:vAlign w:val="center"/>
          </w:tcPr>
          <w:p w14:paraId="70BE6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4C61F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BFAC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52BA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44AEC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EA515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4E33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18F9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4B82B67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8A1E8DF">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481" w:type="dxa"/>
            <w:noWrap w:val="0"/>
            <w:tcMar>
              <w:left w:w="57" w:type="dxa"/>
              <w:right w:w="57" w:type="dxa"/>
            </w:tcMar>
            <w:vAlign w:val="center"/>
          </w:tcPr>
          <w:p w14:paraId="231A1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46" w:type="dxa"/>
            <w:noWrap w:val="0"/>
            <w:tcMar>
              <w:left w:w="57" w:type="dxa"/>
              <w:right w:w="57" w:type="dxa"/>
            </w:tcMar>
            <w:vAlign w:val="center"/>
          </w:tcPr>
          <w:p w14:paraId="62732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3255D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124C5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F4795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3687CB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2ED63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FF61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134F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2323A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3C78A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481" w:type="dxa"/>
            <w:noWrap w:val="0"/>
            <w:tcMar>
              <w:left w:w="57" w:type="dxa"/>
              <w:right w:w="57" w:type="dxa"/>
            </w:tcMar>
            <w:vAlign w:val="center"/>
          </w:tcPr>
          <w:p w14:paraId="32C86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46" w:type="dxa"/>
            <w:noWrap w:val="0"/>
            <w:tcMar>
              <w:left w:w="57" w:type="dxa"/>
              <w:right w:w="57" w:type="dxa"/>
            </w:tcMar>
            <w:vAlign w:val="center"/>
          </w:tcPr>
          <w:p w14:paraId="59BE2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AC2B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71778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3759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D3F3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A7AE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493432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432B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4751EF1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B59393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30D6B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46" w:type="dxa"/>
            <w:noWrap w:val="0"/>
            <w:tcMar>
              <w:left w:w="57" w:type="dxa"/>
              <w:right w:w="57" w:type="dxa"/>
            </w:tcMar>
            <w:vAlign w:val="center"/>
          </w:tcPr>
          <w:p w14:paraId="2E82D6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6DE66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A790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06643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28543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AC78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3638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288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358558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2F9980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481" w:type="dxa"/>
            <w:noWrap w:val="0"/>
            <w:tcMar>
              <w:left w:w="57" w:type="dxa"/>
              <w:right w:w="57" w:type="dxa"/>
            </w:tcMar>
            <w:vAlign w:val="center"/>
          </w:tcPr>
          <w:p w14:paraId="67E4D5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46" w:type="dxa"/>
            <w:noWrap w:val="0"/>
            <w:tcMar>
              <w:left w:w="57" w:type="dxa"/>
              <w:right w:w="57" w:type="dxa"/>
            </w:tcMar>
            <w:vAlign w:val="center"/>
          </w:tcPr>
          <w:p w14:paraId="61EA9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96F6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22A3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5B00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3D7A8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34A78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18EAA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r w14:paraId="5A06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965" w:type="dxa"/>
            <w:vMerge w:val="continue"/>
            <w:noWrap w:val="0"/>
            <w:tcMar>
              <w:left w:w="57" w:type="dxa"/>
              <w:right w:w="57" w:type="dxa"/>
            </w:tcMar>
            <w:vAlign w:val="center"/>
          </w:tcPr>
          <w:p w14:paraId="58CDED44">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108" w:type="dxa"/>
            <w:gridSpan w:val="2"/>
            <w:noWrap w:val="0"/>
            <w:tcMar>
              <w:left w:w="57" w:type="dxa"/>
              <w:right w:w="57" w:type="dxa"/>
            </w:tcMar>
            <w:vAlign w:val="center"/>
          </w:tcPr>
          <w:p w14:paraId="4F4B25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46" w:type="dxa"/>
            <w:noWrap w:val="0"/>
            <w:tcMar>
              <w:left w:w="57" w:type="dxa"/>
              <w:right w:w="57" w:type="dxa"/>
            </w:tcMar>
            <w:vAlign w:val="center"/>
          </w:tcPr>
          <w:p w14:paraId="3767C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5BE77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88A6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43684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1A93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F5FB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65B8E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Theme="minorEastAsia"/>
                <w:sz w:val="20"/>
                <w:szCs w:val="20"/>
                <w:lang w:val="en-US" w:eastAsia="zh-CN"/>
              </w:rPr>
            </w:pPr>
            <w:r>
              <w:rPr>
                <w:rFonts w:hint="eastAsia" w:ascii="Times New Roman" w:hAnsi="Times New Roman"/>
                <w:sz w:val="20"/>
                <w:szCs w:val="20"/>
                <w:lang w:val="en-US" w:eastAsia="zh-CN"/>
              </w:rPr>
              <w:t>0</w:t>
            </w:r>
          </w:p>
        </w:tc>
      </w:tr>
      <w:tr w14:paraId="3096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4073" w:type="dxa"/>
            <w:gridSpan w:val="3"/>
            <w:noWrap w:val="0"/>
            <w:tcMar>
              <w:left w:w="57" w:type="dxa"/>
              <w:right w:w="57" w:type="dxa"/>
            </w:tcMar>
            <w:vAlign w:val="center"/>
          </w:tcPr>
          <w:p w14:paraId="343EB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46" w:type="dxa"/>
            <w:noWrap w:val="0"/>
            <w:tcMar>
              <w:left w:w="57" w:type="dxa"/>
              <w:right w:w="57" w:type="dxa"/>
            </w:tcMar>
            <w:vAlign w:val="center"/>
          </w:tcPr>
          <w:p w14:paraId="210C1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63" w:type="dxa"/>
            <w:noWrap w:val="0"/>
            <w:tcMar>
              <w:left w:w="57" w:type="dxa"/>
              <w:right w:w="57" w:type="dxa"/>
            </w:tcMar>
            <w:vAlign w:val="center"/>
          </w:tcPr>
          <w:p w14:paraId="033C51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A49D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7E2A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714" w:type="dxa"/>
            <w:noWrap w:val="0"/>
            <w:tcMar>
              <w:left w:w="57" w:type="dxa"/>
              <w:right w:w="57" w:type="dxa"/>
            </w:tcMar>
            <w:vAlign w:val="center"/>
          </w:tcPr>
          <w:p w14:paraId="1204F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013E9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c>
          <w:tcPr>
            <w:tcW w:w="680" w:type="dxa"/>
            <w:noWrap w:val="0"/>
            <w:tcMar>
              <w:left w:w="57" w:type="dxa"/>
              <w:right w:w="57" w:type="dxa"/>
            </w:tcMar>
            <w:vAlign w:val="center"/>
          </w:tcPr>
          <w:p w14:paraId="5B922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Theme="minorEastAsia" w:cstheme="minorBidi"/>
                <w:kern w:val="2"/>
                <w:sz w:val="20"/>
                <w:szCs w:val="20"/>
                <w:lang w:val="en-US" w:eastAsia="zh-CN" w:bidi="ar-SA"/>
              </w:rPr>
            </w:pPr>
            <w:r>
              <w:rPr>
                <w:rFonts w:hint="eastAsia" w:ascii="Times New Roman" w:hAnsi="Times New Roman"/>
                <w:sz w:val="20"/>
                <w:szCs w:val="20"/>
                <w:lang w:val="en-US" w:eastAsia="zh-CN"/>
              </w:rPr>
              <w:t>0</w:t>
            </w:r>
          </w:p>
        </w:tc>
      </w:tr>
    </w:tbl>
    <w:p w14:paraId="4C501B63">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四、政府信息公开行政复议、行政诉讼情况</w:t>
      </w:r>
    </w:p>
    <w:tbl>
      <w:tblPr>
        <w:tblStyle w:val="18"/>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326D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926" w:type="dxa"/>
            <w:gridSpan w:val="5"/>
            <w:shd w:val="clear" w:color="auto" w:fill="FFFFFF"/>
            <w:noWrap w:val="0"/>
            <w:tcMar>
              <w:left w:w="108" w:type="dxa"/>
              <w:right w:w="108" w:type="dxa"/>
            </w:tcMar>
            <w:vAlign w:val="center"/>
          </w:tcPr>
          <w:p w14:paraId="716F0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203F1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D9B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8" w:type="dxa"/>
            <w:vMerge w:val="restart"/>
            <w:shd w:val="clear" w:color="auto" w:fill="FFFFFF"/>
            <w:noWrap w:val="0"/>
            <w:tcMar>
              <w:left w:w="108" w:type="dxa"/>
              <w:right w:w="108" w:type="dxa"/>
            </w:tcMar>
            <w:vAlign w:val="center"/>
          </w:tcPr>
          <w:p w14:paraId="5FAE1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466F08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556906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B19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10D68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2C1F6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32E9D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ACA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18" w:type="dxa"/>
            <w:vMerge w:val="continue"/>
            <w:shd w:val="clear" w:color="auto" w:fill="FFFFFF"/>
            <w:noWrap w:val="0"/>
            <w:tcMar>
              <w:left w:w="108" w:type="dxa"/>
              <w:right w:w="108" w:type="dxa"/>
            </w:tcMar>
            <w:vAlign w:val="center"/>
          </w:tcPr>
          <w:p w14:paraId="526A77E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234AD09A">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278F35B3">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43651AB">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0837D82">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7EE3F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65542B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A7C8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3C6D6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DD54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4C830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0AF4C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1EAC3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3707B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F94A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B4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18" w:type="dxa"/>
            <w:shd w:val="clear" w:color="auto" w:fill="FFFFFF"/>
            <w:noWrap w:val="0"/>
            <w:tcMar>
              <w:left w:w="108" w:type="dxa"/>
              <w:right w:w="108" w:type="dxa"/>
            </w:tcMar>
            <w:vAlign w:val="center"/>
          </w:tcPr>
          <w:p w14:paraId="22309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1E46A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7C549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20552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4A3F3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72" w:type="dxa"/>
            <w:shd w:val="clear" w:color="auto" w:fill="FFFFFF"/>
            <w:noWrap w:val="0"/>
            <w:tcMar>
              <w:left w:w="108" w:type="dxa"/>
              <w:right w:w="108" w:type="dxa"/>
            </w:tcMar>
            <w:vAlign w:val="center"/>
          </w:tcPr>
          <w:p w14:paraId="22548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7C90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53348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79F9C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0CC4C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2D5B1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5DB24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8A53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4A2EE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387B3D9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Theme="minorEastAsia"/>
                <w:color w:val="000000"/>
                <w:sz w:val="20"/>
                <w:szCs w:val="20"/>
                <w:lang w:val="en-US" w:eastAsia="zh-CN"/>
              </w:rPr>
            </w:pPr>
            <w:r>
              <w:rPr>
                <w:rFonts w:hint="eastAsia" w:ascii="Times New Roman" w:hAnsi="Times New Roman"/>
                <w:color w:val="000000"/>
                <w:sz w:val="20"/>
                <w:szCs w:val="20"/>
                <w:lang w:val="en-US" w:eastAsia="zh-CN"/>
              </w:rPr>
              <w:t>0</w:t>
            </w:r>
          </w:p>
        </w:tc>
      </w:tr>
    </w:tbl>
    <w:p w14:paraId="0A8D2D65">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五、存在问题及改进措施</w:t>
      </w:r>
    </w:p>
    <w:p w14:paraId="025485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今年，正宁县市场监管局信息公开工作虽然取得了一定的成绩，但与上级要求和群众需求相比还有一定差距。主要表现在个别领域信息公开工作相对滞后，公开的深度、广度、渠道有待进一步拓展。</w:t>
      </w:r>
    </w:p>
    <w:p w14:paraId="5D57CC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后，我们将按照省市县要求，把政府信息公开作为常态性工作抓实抓好，坚持能公开都要公开的基本原则，降门槛、少推辞、多服务，保证政府信息公开及时、便民高效、规范运行，努力推动我局政府信息与政务公开工作再上新台阶。</w:t>
      </w:r>
    </w:p>
    <w:p w14:paraId="4F553E2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六、其他需要报告的事项</w:t>
      </w:r>
    </w:p>
    <w:p w14:paraId="01D0683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依据国务院办公厅《政府信息公开信息处理费管理办法》（国办函〔2020〕109号），本年度正宁县市场监督管理局未向任何申请主体收取政府信息公开信息处理费。</w:t>
      </w:r>
    </w:p>
    <w:p w14:paraId="315F3E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本报告电子版可在正宁县人民政府门户网站“政府信息公开”专栏“政府信息公开年报”栏目（https://www.zninfo.gov.cn/zwgk/zfxxgknb/）查阅下载。如有疑问或意见建议，请与</w:t>
      </w:r>
      <w:r>
        <w:rPr>
          <w:rFonts w:hint="eastAsia" w:ascii="仿宋_GB2312" w:eastAsia="仿宋_GB2312"/>
          <w:sz w:val="32"/>
          <w:szCs w:val="32"/>
          <w:lang w:val="en-US" w:eastAsia="zh-CN"/>
        </w:rPr>
        <w:t>正宁县市场监督管理局</w:t>
      </w:r>
      <w:r>
        <w:rPr>
          <w:rFonts w:hint="eastAsia" w:ascii="仿宋_GB2312" w:eastAsia="仿宋_GB2312"/>
          <w:sz w:val="32"/>
          <w:szCs w:val="32"/>
        </w:rPr>
        <w:t>办公室联系，联系电话：0934-</w:t>
      </w:r>
      <w:r>
        <w:rPr>
          <w:rFonts w:hint="eastAsia" w:ascii="仿宋_GB2312" w:eastAsia="仿宋_GB2312"/>
          <w:sz w:val="32"/>
          <w:szCs w:val="32"/>
          <w:lang w:val="en-US" w:eastAsia="zh-CN"/>
        </w:rPr>
        <w:t>6122698</w:t>
      </w: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EBC7E"/>
    <w:multiLevelType w:val="singleLevel"/>
    <w:tmpl w:val="1FEEBC7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mNTkyNWUxZDdhZjZhZmY1ZDg0NjE2YmVhYTI4NGIifQ=="/>
  </w:docVars>
  <w:rsids>
    <w:rsidRoot w:val="00495AA7"/>
    <w:rsid w:val="00247FB8"/>
    <w:rsid w:val="00481A26"/>
    <w:rsid w:val="00495AA7"/>
    <w:rsid w:val="005B2C54"/>
    <w:rsid w:val="00794222"/>
    <w:rsid w:val="00873D51"/>
    <w:rsid w:val="009610EA"/>
    <w:rsid w:val="009E76C8"/>
    <w:rsid w:val="00B51EB0"/>
    <w:rsid w:val="00CD2023"/>
    <w:rsid w:val="00D620DC"/>
    <w:rsid w:val="00F12785"/>
    <w:rsid w:val="00F65B71"/>
    <w:rsid w:val="04A56274"/>
    <w:rsid w:val="054C456D"/>
    <w:rsid w:val="06A5791E"/>
    <w:rsid w:val="082C7B94"/>
    <w:rsid w:val="08FD6983"/>
    <w:rsid w:val="12A3059B"/>
    <w:rsid w:val="138E124B"/>
    <w:rsid w:val="13C500FA"/>
    <w:rsid w:val="14AC513B"/>
    <w:rsid w:val="14B50CDB"/>
    <w:rsid w:val="1A0F1779"/>
    <w:rsid w:val="1DB54AA5"/>
    <w:rsid w:val="28247630"/>
    <w:rsid w:val="319F1FB5"/>
    <w:rsid w:val="32D85BE7"/>
    <w:rsid w:val="37E34478"/>
    <w:rsid w:val="42044303"/>
    <w:rsid w:val="4BBA4717"/>
    <w:rsid w:val="4FF87249"/>
    <w:rsid w:val="52C236A1"/>
    <w:rsid w:val="55EE2C72"/>
    <w:rsid w:val="572823EA"/>
    <w:rsid w:val="5A7A44D4"/>
    <w:rsid w:val="5AD6391E"/>
    <w:rsid w:val="5D5F28DD"/>
    <w:rsid w:val="5E211941"/>
    <w:rsid w:val="64025D70"/>
    <w:rsid w:val="66072189"/>
    <w:rsid w:val="67265D5D"/>
    <w:rsid w:val="6BDD59E0"/>
    <w:rsid w:val="6E6829CA"/>
    <w:rsid w:val="6EAA1059"/>
    <w:rsid w:val="6EFD3923"/>
    <w:rsid w:val="70FC4273"/>
    <w:rsid w:val="74634609"/>
    <w:rsid w:val="7B7D256A"/>
    <w:rsid w:val="7D4B5284"/>
    <w:rsid w:val="B9BFDEF7"/>
    <w:rsid w:val="BDFEA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2E75B6"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12">
    <w:name w:val="Body Text Indent 2"/>
    <w:basedOn w:val="1"/>
    <w:next w:val="1"/>
    <w:qFormat/>
    <w:uiPriority w:val="0"/>
    <w:pPr>
      <w:spacing w:after="120" w:line="480" w:lineRule="auto"/>
      <w:ind w:left="420" w:leftChars="200"/>
    </w:p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3"/>
    <w:qFormat/>
    <w:uiPriority w:val="9"/>
    <w:rPr>
      <w:rFonts w:asciiTheme="majorHAnsi" w:hAnsiTheme="majorHAnsi" w:eastAsiaTheme="majorEastAsia" w:cstheme="majorBidi"/>
      <w:color w:val="2E75B6"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2E75B6"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2E75B6" w:themeColor="accent1" w:themeShade="BF"/>
      <w:sz w:val="32"/>
      <w:szCs w:val="32"/>
    </w:rPr>
  </w:style>
  <w:style w:type="character" w:customStyle="1" w:styleId="23">
    <w:name w:val="标题 4 字符"/>
    <w:basedOn w:val="19"/>
    <w:link w:val="6"/>
    <w:semiHidden/>
    <w:qFormat/>
    <w:uiPriority w:val="9"/>
    <w:rPr>
      <w:rFonts w:cstheme="majorBidi"/>
      <w:color w:val="2E75B6" w:themeColor="accent1" w:themeShade="BF"/>
      <w:sz w:val="28"/>
      <w:szCs w:val="28"/>
    </w:rPr>
  </w:style>
  <w:style w:type="character" w:customStyle="1" w:styleId="24">
    <w:name w:val="标题 5 字符"/>
    <w:basedOn w:val="19"/>
    <w:link w:val="7"/>
    <w:semiHidden/>
    <w:qFormat/>
    <w:uiPriority w:val="9"/>
    <w:rPr>
      <w:rFonts w:cstheme="majorBidi"/>
      <w:color w:val="2E75B6" w:themeColor="accent1" w:themeShade="BF"/>
      <w:sz w:val="24"/>
      <w:szCs w:val="24"/>
    </w:rPr>
  </w:style>
  <w:style w:type="character" w:customStyle="1" w:styleId="25">
    <w:name w:val="标题 6 字符"/>
    <w:basedOn w:val="19"/>
    <w:link w:val="8"/>
    <w:semiHidden/>
    <w:qFormat/>
    <w:uiPriority w:val="9"/>
    <w:rPr>
      <w:rFonts w:cstheme="majorBidi"/>
      <w:b/>
      <w:bCs/>
      <w:color w:val="2E75B6"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E75B6" w:themeColor="accent1" w:themeShade="BF"/>
    </w:rPr>
  </w:style>
  <w:style w:type="paragraph" w:styleId="35">
    <w:name w:val="Intense Quote"/>
    <w:basedOn w:val="1"/>
    <w:next w:val="1"/>
    <w:link w:val="36"/>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6">
    <w:name w:val="明显引用 字符"/>
    <w:basedOn w:val="19"/>
    <w:link w:val="35"/>
    <w:qFormat/>
    <w:uiPriority w:val="30"/>
    <w:rPr>
      <w:i/>
      <w:iCs/>
      <w:color w:val="2E75B6" w:themeColor="accent1" w:themeShade="BF"/>
    </w:rPr>
  </w:style>
  <w:style w:type="character" w:customStyle="1" w:styleId="37">
    <w:name w:val="Intense Reference"/>
    <w:basedOn w:val="19"/>
    <w:qFormat/>
    <w:uiPriority w:val="32"/>
    <w:rPr>
      <w:b/>
      <w:bCs/>
      <w:smallCaps/>
      <w:color w:val="2E75B6"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2714</Words>
  <Characters>2849</Characters>
  <Lines>289</Lines>
  <Paragraphs>357</Paragraphs>
  <TotalTime>0</TotalTime>
  <ScaleCrop>false</ScaleCrop>
  <LinksUpToDate>false</LinksUpToDate>
  <CharactersWithSpaces>2850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2026-01-08T09:25:00Z</dcterms:created>
  <dc:creator>renjie feng</dc:creator>
  <cp:lastModifiedBy>风声</cp:lastModifiedBy>
  <cp:lastPrinted>2026-01-10T02:18:00Z</cp:lastPrinted>
  <dcterms:modified xsi:type="dcterms:W3CDTF">2026-01-21T14:45:10Z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8375D286C8F84CCEA84EE5B0DA1C8434_12</vt:lpwstr>
  </property>
</Properties>
</file>