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37BB64">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汉仪细圆B5" w:hAnsi="汉仪细圆B5" w:eastAsia="方正小标宋简体" w:cs="汉仪细圆B5"/>
          <w:w w:val="95"/>
          <w:sz w:val="44"/>
          <w:szCs w:val="44"/>
          <w:lang w:val="en-US" w:eastAsia="zh-CN"/>
        </w:rPr>
      </w:pPr>
    </w:p>
    <w:p w14:paraId="0992EB94">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汉仪细圆B5" w:hAnsi="汉仪细圆B5" w:eastAsia="方正小标宋简体" w:cs="汉仪细圆B5"/>
          <w:w w:val="95"/>
          <w:sz w:val="44"/>
          <w:szCs w:val="44"/>
          <w:lang w:val="en-US" w:eastAsia="zh-CN"/>
        </w:rPr>
      </w:pPr>
      <w:bookmarkStart w:id="0" w:name="_GoBack"/>
      <w:bookmarkEnd w:id="0"/>
      <w:r>
        <w:rPr>
          <w:rFonts w:hint="eastAsia" w:ascii="汉仪细圆B5" w:hAnsi="汉仪细圆B5" w:eastAsia="方正小标宋简体" w:cs="汉仪细圆B5"/>
          <w:w w:val="95"/>
          <w:sz w:val="44"/>
          <w:szCs w:val="44"/>
          <w:lang w:val="en-US" w:eastAsia="zh-CN"/>
        </w:rPr>
        <w:t xml:space="preserve">正宁县退役军人事务局 </w:t>
      </w:r>
    </w:p>
    <w:p w14:paraId="3BCB1709">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汉仪细圆B5" w:hAnsi="汉仪细圆B5" w:eastAsia="方正小标宋简体" w:cs="汉仪细圆B5"/>
          <w:w w:val="95"/>
          <w:sz w:val="44"/>
          <w:szCs w:val="44"/>
          <w:lang w:val="en-US" w:eastAsia="zh-CN"/>
        </w:rPr>
      </w:pPr>
      <w:r>
        <w:rPr>
          <w:rFonts w:hint="default" w:ascii="Times New Roman" w:hAnsi="Times New Roman" w:eastAsia="仿宋_GB2312" w:cs="Times New Roman"/>
          <w:b/>
          <w:bCs/>
          <w:color w:val="000000"/>
          <w:spacing w:val="0"/>
          <w:kern w:val="21"/>
          <w:sz w:val="44"/>
          <w:szCs w:val="44"/>
        </w:rPr>
        <w:t>202</w:t>
      </w:r>
      <w:r>
        <w:rPr>
          <w:rFonts w:hint="default" w:ascii="Times New Roman" w:hAnsi="Times New Roman" w:eastAsia="仿宋_GB2312" w:cs="Times New Roman"/>
          <w:b/>
          <w:bCs/>
          <w:color w:val="000000"/>
          <w:spacing w:val="0"/>
          <w:kern w:val="21"/>
          <w:sz w:val="44"/>
          <w:szCs w:val="44"/>
          <w:lang w:val="en-US" w:eastAsia="zh-CN"/>
        </w:rPr>
        <w:t>5</w:t>
      </w:r>
      <w:r>
        <w:rPr>
          <w:rFonts w:hint="default" w:ascii="汉仪细圆B5" w:hAnsi="汉仪细圆B5" w:eastAsia="方正小标宋简体" w:cs="汉仪细圆B5"/>
          <w:w w:val="95"/>
          <w:sz w:val="44"/>
          <w:szCs w:val="44"/>
          <w:lang w:val="en-US" w:eastAsia="zh-CN"/>
        </w:rPr>
        <w:t>年政府信息公开工作年度报告</w:t>
      </w:r>
    </w:p>
    <w:p w14:paraId="512139C0">
      <w:pPr>
        <w:pStyle w:val="7"/>
        <w:rPr>
          <w:rFonts w:hint="default" w:ascii="Times New Roman" w:hAnsi="Times New Roman" w:eastAsia="仿宋_GB2312" w:cs="Times New Roman"/>
          <w:color w:val="000000"/>
          <w:spacing w:val="0"/>
          <w:kern w:val="21"/>
          <w:sz w:val="32"/>
          <w:szCs w:val="32"/>
          <w:lang w:val="en-US" w:eastAsia="zh-CN" w:bidi="ar-SA"/>
        </w:rPr>
      </w:pPr>
    </w:p>
    <w:p w14:paraId="633BAD0A">
      <w:pPr>
        <w:pStyle w:val="7"/>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pacing w:val="0"/>
          <w:kern w:val="21"/>
          <w:sz w:val="32"/>
          <w:szCs w:val="32"/>
          <w:lang w:val="en-US" w:eastAsia="zh-CN" w:bidi="ar-SA"/>
        </w:rPr>
      </w:pPr>
      <w:r>
        <w:rPr>
          <w:rFonts w:hint="default" w:ascii="Times New Roman" w:hAnsi="Times New Roman" w:eastAsia="仿宋_GB2312" w:cs="Times New Roman"/>
          <w:color w:val="000000"/>
          <w:spacing w:val="0"/>
          <w:kern w:val="21"/>
          <w:sz w:val="32"/>
          <w:szCs w:val="32"/>
          <w:lang w:val="en-US" w:eastAsia="zh-CN" w:bidi="ar-SA"/>
        </w:rPr>
        <w:t>根据《中华人民共和国政府信息公开条例》（以下简称《条例》）和《中华人民共和国政府信息公开工作年度报告格式》（国办公开办函〔2021〕30号）要求编制本报告。报告内容包括总体情况、主动公开政府信息情况、收到和处理政府信息公开申请情况、政府信息公开行政复议行政诉讼情况、存在的主要问题及改进情况、其他需要报告的事项六个部分。报告所列数据统计期限为2025年1月1日至12月31日。</w:t>
      </w:r>
    </w:p>
    <w:p w14:paraId="009FA46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spacing w:val="0"/>
          <w:kern w:val="21"/>
          <w:sz w:val="32"/>
          <w:szCs w:val="32"/>
          <w:lang w:val="en-US" w:eastAsia="zh-CN" w:bidi="ar-SA"/>
        </w:rPr>
      </w:pPr>
      <w:r>
        <w:rPr>
          <w:rFonts w:hint="eastAsia" w:ascii="黑体" w:hAnsi="黑体" w:eastAsia="黑体" w:cs="黑体"/>
          <w:color w:val="000000"/>
          <w:spacing w:val="0"/>
          <w:kern w:val="21"/>
          <w:sz w:val="32"/>
          <w:szCs w:val="32"/>
          <w:lang w:val="en-US" w:eastAsia="zh-CN" w:bidi="ar-SA"/>
        </w:rPr>
        <w:t>一、总体情况</w:t>
      </w:r>
    </w:p>
    <w:p w14:paraId="17EE486A">
      <w:pPr>
        <w:pStyle w:val="7"/>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pacing w:val="0"/>
          <w:kern w:val="21"/>
          <w:sz w:val="32"/>
          <w:szCs w:val="32"/>
          <w:lang w:val="en-US" w:eastAsia="zh-CN" w:bidi="ar-SA"/>
        </w:rPr>
      </w:pPr>
      <w:r>
        <w:rPr>
          <w:rFonts w:hint="default" w:ascii="Times New Roman" w:hAnsi="Times New Roman" w:eastAsia="仿宋_GB2312" w:cs="Times New Roman"/>
          <w:color w:val="000000"/>
          <w:spacing w:val="0"/>
          <w:kern w:val="21"/>
          <w:sz w:val="32"/>
          <w:szCs w:val="32"/>
          <w:lang w:val="en-US" w:eastAsia="zh-CN" w:bidi="ar-SA"/>
        </w:rPr>
        <w:t>202</w:t>
      </w:r>
      <w:r>
        <w:rPr>
          <w:rFonts w:hint="eastAsia" w:ascii="Times New Roman" w:hAnsi="Times New Roman" w:eastAsia="仿宋_GB2312" w:cs="Times New Roman"/>
          <w:color w:val="000000"/>
          <w:spacing w:val="0"/>
          <w:kern w:val="21"/>
          <w:sz w:val="32"/>
          <w:szCs w:val="32"/>
          <w:lang w:val="en-US" w:eastAsia="zh-CN" w:bidi="ar-SA"/>
        </w:rPr>
        <w:t>5</w:t>
      </w:r>
      <w:r>
        <w:rPr>
          <w:rFonts w:hint="default" w:ascii="Times New Roman" w:hAnsi="Times New Roman" w:eastAsia="仿宋_GB2312" w:cs="Times New Roman"/>
          <w:color w:val="000000"/>
          <w:spacing w:val="0"/>
          <w:kern w:val="21"/>
          <w:sz w:val="32"/>
          <w:szCs w:val="32"/>
          <w:lang w:val="en-US" w:eastAsia="zh-CN" w:bidi="ar-SA"/>
        </w:rPr>
        <w:t>年，在县委、县政府</w:t>
      </w:r>
      <w:r>
        <w:rPr>
          <w:rFonts w:hint="eastAsia" w:ascii="Times New Roman" w:hAnsi="Times New Roman" w:eastAsia="仿宋_GB2312" w:cs="Times New Roman"/>
          <w:color w:val="000000"/>
          <w:spacing w:val="0"/>
          <w:kern w:val="21"/>
          <w:sz w:val="32"/>
          <w:szCs w:val="32"/>
          <w:lang w:val="en-US" w:eastAsia="zh-CN" w:bidi="ar-SA"/>
        </w:rPr>
        <w:t>的正确</w:t>
      </w:r>
      <w:r>
        <w:rPr>
          <w:rFonts w:hint="default" w:ascii="Times New Roman" w:hAnsi="Times New Roman" w:eastAsia="仿宋_GB2312" w:cs="Times New Roman"/>
          <w:color w:val="000000"/>
          <w:spacing w:val="0"/>
          <w:kern w:val="21"/>
          <w:sz w:val="32"/>
          <w:szCs w:val="32"/>
          <w:lang w:val="en-US" w:eastAsia="zh-CN" w:bidi="ar-SA"/>
        </w:rPr>
        <w:t>领导下，在县政府办公室的精心指导下，正宁县</w:t>
      </w:r>
      <w:r>
        <w:rPr>
          <w:rFonts w:hint="eastAsia" w:ascii="Times New Roman" w:hAnsi="Times New Roman" w:eastAsia="仿宋_GB2312" w:cs="Times New Roman"/>
          <w:color w:val="000000"/>
          <w:spacing w:val="0"/>
          <w:kern w:val="21"/>
          <w:sz w:val="32"/>
          <w:szCs w:val="32"/>
          <w:lang w:val="en-US" w:eastAsia="zh-CN" w:bidi="ar-SA"/>
        </w:rPr>
        <w:t>退役军人事务局认真</w:t>
      </w:r>
      <w:r>
        <w:rPr>
          <w:rFonts w:hint="default" w:ascii="Times New Roman" w:hAnsi="Times New Roman" w:eastAsia="仿宋_GB2312" w:cs="Times New Roman"/>
          <w:color w:val="000000"/>
          <w:spacing w:val="0"/>
          <w:kern w:val="21"/>
          <w:sz w:val="32"/>
          <w:szCs w:val="32"/>
          <w:lang w:val="en-US" w:eastAsia="zh-CN" w:bidi="ar-SA"/>
        </w:rPr>
        <w:t>贯彻落实《中华人民共和国政府信息公开条例》，围绕</w:t>
      </w:r>
      <w:r>
        <w:rPr>
          <w:rFonts w:hint="eastAsia" w:ascii="Times New Roman" w:hAnsi="Times New Roman" w:eastAsia="仿宋_GB2312" w:cs="Times New Roman"/>
          <w:color w:val="000000"/>
          <w:spacing w:val="0"/>
          <w:kern w:val="21"/>
          <w:sz w:val="32"/>
          <w:szCs w:val="32"/>
          <w:lang w:val="en-US" w:eastAsia="zh-CN" w:bidi="ar-SA"/>
        </w:rPr>
        <w:t>退役军人</w:t>
      </w:r>
      <w:r>
        <w:rPr>
          <w:rFonts w:hint="default" w:ascii="Times New Roman" w:hAnsi="Times New Roman" w:eastAsia="仿宋_GB2312" w:cs="Times New Roman"/>
          <w:color w:val="000000"/>
          <w:spacing w:val="0"/>
          <w:kern w:val="21"/>
          <w:sz w:val="32"/>
          <w:szCs w:val="32"/>
          <w:lang w:val="en-US" w:eastAsia="zh-CN" w:bidi="ar-SA"/>
        </w:rPr>
        <w:t>关注关切</w:t>
      </w:r>
      <w:r>
        <w:rPr>
          <w:rFonts w:hint="eastAsia" w:ascii="Times New Roman" w:hAnsi="Times New Roman" w:eastAsia="仿宋_GB2312" w:cs="Times New Roman"/>
          <w:color w:val="000000"/>
          <w:spacing w:val="0"/>
          <w:kern w:val="21"/>
          <w:sz w:val="32"/>
          <w:szCs w:val="32"/>
          <w:lang w:val="en-US" w:eastAsia="zh-CN" w:bidi="ar-SA"/>
        </w:rPr>
        <w:t>的热点重点问题，做好政府信息公开各项工作，充分发挥服务保障作用。</w:t>
      </w:r>
      <w:r>
        <w:rPr>
          <w:rFonts w:hint="default" w:ascii="Times New Roman" w:hAnsi="Times New Roman" w:eastAsia="仿宋_GB2312" w:cs="Times New Roman"/>
          <w:color w:val="000000"/>
          <w:spacing w:val="0"/>
          <w:kern w:val="21"/>
          <w:sz w:val="32"/>
          <w:szCs w:val="32"/>
          <w:lang w:val="en-US" w:eastAsia="zh-CN" w:bidi="ar-SA"/>
        </w:rPr>
        <w:t>根据规定，现将我局202</w:t>
      </w:r>
      <w:r>
        <w:rPr>
          <w:rFonts w:hint="eastAsia" w:ascii="Times New Roman" w:hAnsi="Times New Roman" w:eastAsia="仿宋_GB2312" w:cs="Times New Roman"/>
          <w:color w:val="000000"/>
          <w:spacing w:val="0"/>
          <w:kern w:val="21"/>
          <w:sz w:val="32"/>
          <w:szCs w:val="32"/>
          <w:lang w:val="en-US" w:eastAsia="zh-CN" w:bidi="ar-SA"/>
        </w:rPr>
        <w:t>5</w:t>
      </w:r>
      <w:r>
        <w:rPr>
          <w:rFonts w:hint="default" w:ascii="Times New Roman" w:hAnsi="Times New Roman" w:eastAsia="仿宋_GB2312" w:cs="Times New Roman"/>
          <w:color w:val="000000"/>
          <w:spacing w:val="0"/>
          <w:kern w:val="21"/>
          <w:sz w:val="32"/>
          <w:szCs w:val="32"/>
          <w:lang w:val="en-US" w:eastAsia="zh-CN" w:bidi="ar-SA"/>
        </w:rPr>
        <w:t>年度政府信息公开工作报告如下：</w:t>
      </w:r>
    </w:p>
    <w:p w14:paraId="6974D43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color w:val="000000"/>
          <w:spacing w:val="0"/>
          <w:kern w:val="21"/>
          <w:sz w:val="32"/>
          <w:szCs w:val="32"/>
          <w:lang w:val="en-US" w:eastAsia="zh-CN" w:bidi="ar-SA"/>
        </w:rPr>
      </w:pPr>
      <w:r>
        <w:rPr>
          <w:rFonts w:hint="eastAsia" w:ascii="楷体_GB2312" w:hAnsi="楷体_GB2312" w:eastAsia="楷体_GB2312" w:cs="楷体_GB2312"/>
          <w:b/>
          <w:bCs/>
          <w:color w:val="000000"/>
          <w:spacing w:val="0"/>
          <w:kern w:val="21"/>
          <w:sz w:val="32"/>
          <w:szCs w:val="32"/>
          <w:lang w:val="en-US" w:eastAsia="zh-CN" w:bidi="ar-SA"/>
        </w:rPr>
        <w:t>（一）主动公开方面</w:t>
      </w:r>
    </w:p>
    <w:p w14:paraId="5C670A7B">
      <w:pPr>
        <w:pStyle w:val="7"/>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pacing w:val="0"/>
          <w:kern w:val="21"/>
          <w:sz w:val="32"/>
          <w:szCs w:val="32"/>
          <w:lang w:val="en-US" w:eastAsia="zh-CN" w:bidi="ar-SA"/>
        </w:rPr>
      </w:pPr>
      <w:r>
        <w:rPr>
          <w:rFonts w:hint="default" w:ascii="Times New Roman" w:hAnsi="Times New Roman" w:eastAsia="仿宋_GB2312" w:cs="Times New Roman"/>
          <w:color w:val="000000"/>
          <w:spacing w:val="0"/>
          <w:kern w:val="21"/>
          <w:sz w:val="32"/>
          <w:szCs w:val="32"/>
          <w:lang w:val="en-US" w:eastAsia="zh-CN" w:bidi="ar-SA"/>
        </w:rPr>
        <w:t>202</w:t>
      </w:r>
      <w:r>
        <w:rPr>
          <w:rFonts w:hint="eastAsia" w:ascii="Times New Roman" w:hAnsi="Times New Roman" w:eastAsia="仿宋_GB2312" w:cs="Times New Roman"/>
          <w:color w:val="000000"/>
          <w:spacing w:val="0"/>
          <w:kern w:val="21"/>
          <w:sz w:val="32"/>
          <w:szCs w:val="32"/>
          <w:lang w:val="en-US" w:eastAsia="zh-CN" w:bidi="ar-SA"/>
        </w:rPr>
        <w:t>5</w:t>
      </w:r>
      <w:r>
        <w:rPr>
          <w:rFonts w:hint="default" w:ascii="Times New Roman" w:hAnsi="Times New Roman" w:eastAsia="仿宋_GB2312" w:cs="Times New Roman"/>
          <w:color w:val="000000"/>
          <w:spacing w:val="0"/>
          <w:kern w:val="21"/>
          <w:sz w:val="32"/>
          <w:szCs w:val="32"/>
          <w:lang w:val="en-US" w:eastAsia="zh-CN" w:bidi="ar-SA"/>
        </w:rPr>
        <w:t>年，我局主要通过县政府门户网站等形式主动公开政府信息</w:t>
      </w:r>
      <w:r>
        <w:rPr>
          <w:rFonts w:hint="eastAsia" w:ascii="Times New Roman" w:hAnsi="Times New Roman" w:eastAsia="仿宋_GB2312" w:cs="Times New Roman"/>
          <w:color w:val="000000"/>
          <w:spacing w:val="0"/>
          <w:kern w:val="21"/>
          <w:sz w:val="32"/>
          <w:szCs w:val="32"/>
          <w:lang w:val="en-US" w:eastAsia="zh-CN" w:bidi="ar-SA"/>
        </w:rPr>
        <w:t>11条</w:t>
      </w:r>
      <w:r>
        <w:rPr>
          <w:rFonts w:hint="eastAsia" w:ascii="楷体_GB2312" w:hAnsi="楷体_GB2312" w:eastAsia="楷体_GB2312" w:cs="楷体_GB2312"/>
          <w:b w:val="0"/>
          <w:bCs w:val="0"/>
          <w:color w:val="000000"/>
          <w:spacing w:val="0"/>
          <w:kern w:val="21"/>
          <w:sz w:val="24"/>
          <w:szCs w:val="24"/>
          <w:lang w:val="en-US" w:eastAsia="zh-CN" w:bidi="ar-SA"/>
        </w:rPr>
        <w:t>（其中：正宁双拥专题专栏9条、政务活动1条、预算决算1条）</w:t>
      </w:r>
      <w:r>
        <w:rPr>
          <w:rFonts w:hint="eastAsia" w:ascii="Times New Roman" w:hAnsi="Times New Roman" w:eastAsia="仿宋_GB2312" w:cs="Times New Roman"/>
          <w:color w:val="000000"/>
          <w:spacing w:val="0"/>
          <w:kern w:val="21"/>
          <w:sz w:val="32"/>
          <w:szCs w:val="32"/>
          <w:lang w:val="en-US" w:eastAsia="zh-CN" w:bidi="ar-SA"/>
        </w:rPr>
        <w:t>，</w:t>
      </w:r>
      <w:r>
        <w:rPr>
          <w:rFonts w:hint="default" w:ascii="Times New Roman" w:hAnsi="Times New Roman" w:eastAsia="仿宋_GB2312" w:cs="Times New Roman"/>
          <w:color w:val="000000"/>
          <w:spacing w:val="0"/>
          <w:kern w:val="21"/>
          <w:sz w:val="32"/>
          <w:szCs w:val="32"/>
          <w:lang w:val="en-US" w:eastAsia="zh-CN" w:bidi="ar-SA"/>
        </w:rPr>
        <w:t>通过政务新媒体“</w:t>
      </w:r>
      <w:r>
        <w:rPr>
          <w:rFonts w:hint="eastAsia" w:ascii="Times New Roman" w:hAnsi="Times New Roman" w:eastAsia="仿宋_GB2312" w:cs="Times New Roman"/>
          <w:color w:val="000000"/>
          <w:spacing w:val="0"/>
          <w:kern w:val="21"/>
          <w:sz w:val="32"/>
          <w:szCs w:val="32"/>
          <w:lang w:val="en-US" w:eastAsia="zh-CN" w:bidi="ar-SA"/>
        </w:rPr>
        <w:t>正宁退役军人</w:t>
      </w:r>
      <w:r>
        <w:rPr>
          <w:rFonts w:hint="default" w:ascii="Times New Roman" w:hAnsi="Times New Roman" w:eastAsia="仿宋_GB2312" w:cs="Times New Roman"/>
          <w:color w:val="000000"/>
          <w:spacing w:val="0"/>
          <w:kern w:val="21"/>
          <w:sz w:val="32"/>
          <w:szCs w:val="32"/>
          <w:lang w:val="en-US" w:eastAsia="zh-CN" w:bidi="ar-SA"/>
        </w:rPr>
        <w:t>”发布各类信息</w:t>
      </w:r>
      <w:r>
        <w:rPr>
          <w:rFonts w:hint="eastAsia" w:ascii="Times New Roman" w:hAnsi="Times New Roman" w:eastAsia="仿宋_GB2312" w:cs="Times New Roman"/>
          <w:color w:val="000000"/>
          <w:spacing w:val="0"/>
          <w:kern w:val="21"/>
          <w:sz w:val="32"/>
          <w:szCs w:val="32"/>
          <w:lang w:val="en-US" w:eastAsia="zh-CN" w:bidi="ar-SA"/>
        </w:rPr>
        <w:t>20条，</w:t>
      </w:r>
      <w:r>
        <w:rPr>
          <w:rFonts w:hint="default" w:ascii="Times New Roman" w:hAnsi="Times New Roman" w:eastAsia="仿宋_GB2312" w:cs="Times New Roman"/>
          <w:color w:val="000000"/>
          <w:spacing w:val="0"/>
          <w:kern w:val="21"/>
          <w:sz w:val="32"/>
          <w:szCs w:val="32"/>
          <w:lang w:val="en-US" w:eastAsia="zh-CN" w:bidi="ar-SA"/>
        </w:rPr>
        <w:t>做到了应公开尽公开、应上网尽上网，有效保障了</w:t>
      </w:r>
      <w:r>
        <w:rPr>
          <w:rFonts w:hint="eastAsia" w:ascii="Times New Roman" w:hAnsi="Times New Roman" w:eastAsia="仿宋_GB2312" w:cs="Times New Roman"/>
          <w:color w:val="000000"/>
          <w:spacing w:val="0"/>
          <w:kern w:val="21"/>
          <w:sz w:val="32"/>
          <w:szCs w:val="32"/>
          <w:lang w:val="en-US" w:eastAsia="zh-CN" w:bidi="ar-SA"/>
        </w:rPr>
        <w:t>公众</w:t>
      </w:r>
      <w:r>
        <w:rPr>
          <w:rFonts w:hint="default" w:ascii="Times New Roman" w:hAnsi="Times New Roman" w:eastAsia="仿宋_GB2312" w:cs="Times New Roman"/>
          <w:color w:val="000000"/>
          <w:spacing w:val="0"/>
          <w:kern w:val="21"/>
          <w:sz w:val="32"/>
          <w:szCs w:val="32"/>
          <w:lang w:val="en-US" w:eastAsia="zh-CN" w:bidi="ar-SA"/>
        </w:rPr>
        <w:t>的知情权、参与权、表达权和监督权。</w:t>
      </w:r>
    </w:p>
    <w:p w14:paraId="1ACAC84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color w:val="000000"/>
          <w:spacing w:val="0"/>
          <w:kern w:val="21"/>
          <w:sz w:val="32"/>
          <w:szCs w:val="32"/>
          <w:lang w:val="en-US" w:eastAsia="zh-CN" w:bidi="ar-SA"/>
        </w:rPr>
      </w:pPr>
      <w:r>
        <w:rPr>
          <w:rFonts w:hint="eastAsia" w:ascii="楷体_GB2312" w:hAnsi="楷体_GB2312" w:eastAsia="楷体_GB2312" w:cs="楷体_GB2312"/>
          <w:b/>
          <w:bCs/>
          <w:color w:val="000000"/>
          <w:spacing w:val="0"/>
          <w:kern w:val="21"/>
          <w:sz w:val="32"/>
          <w:szCs w:val="32"/>
          <w:lang w:val="en-US" w:eastAsia="zh-CN" w:bidi="ar-SA"/>
        </w:rPr>
        <w:t>（二）依申请公开方面</w:t>
      </w:r>
    </w:p>
    <w:p w14:paraId="1DA4FBF4">
      <w:pPr>
        <w:pStyle w:val="7"/>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spacing w:val="0"/>
          <w:kern w:val="21"/>
          <w:sz w:val="32"/>
          <w:szCs w:val="32"/>
          <w:lang w:val="en-US" w:eastAsia="zh-CN" w:bidi="ar-SA"/>
        </w:rPr>
      </w:pPr>
      <w:r>
        <w:rPr>
          <w:rFonts w:hint="eastAsia" w:ascii="Times New Roman" w:hAnsi="Times New Roman" w:eastAsia="仿宋_GB2312" w:cs="Times New Roman"/>
          <w:color w:val="000000"/>
          <w:spacing w:val="0"/>
          <w:kern w:val="21"/>
          <w:sz w:val="32"/>
          <w:szCs w:val="32"/>
          <w:lang w:val="en-US" w:eastAsia="zh-CN" w:bidi="ar-SA"/>
        </w:rPr>
        <w:t>2025年未收到公民提交的政府信息公开申请，也未收到因政府信息公开申请引起的行政复议、行政诉讼。</w:t>
      </w:r>
    </w:p>
    <w:p w14:paraId="0C54369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color w:val="000000"/>
          <w:spacing w:val="0"/>
          <w:kern w:val="21"/>
          <w:sz w:val="32"/>
          <w:szCs w:val="32"/>
          <w:lang w:val="en-US" w:eastAsia="zh-CN" w:bidi="ar-SA"/>
        </w:rPr>
      </w:pPr>
      <w:r>
        <w:rPr>
          <w:rFonts w:hint="eastAsia" w:ascii="楷体_GB2312" w:hAnsi="楷体_GB2312" w:eastAsia="楷体_GB2312" w:cs="楷体_GB2312"/>
          <w:b/>
          <w:bCs/>
          <w:color w:val="000000"/>
          <w:spacing w:val="0"/>
          <w:kern w:val="21"/>
          <w:sz w:val="32"/>
          <w:szCs w:val="32"/>
          <w:lang w:val="en-US" w:eastAsia="zh-CN" w:bidi="ar-SA"/>
        </w:rPr>
        <w:t>（三）政府信息管理方面</w:t>
      </w:r>
    </w:p>
    <w:p w14:paraId="3533A8BF">
      <w:pPr>
        <w:pStyle w:val="7"/>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spacing w:val="0"/>
          <w:kern w:val="21"/>
          <w:sz w:val="32"/>
          <w:szCs w:val="32"/>
          <w:lang w:val="en-US" w:eastAsia="zh-CN" w:bidi="ar-SA"/>
        </w:rPr>
      </w:pPr>
      <w:r>
        <w:rPr>
          <w:rFonts w:hint="eastAsia" w:ascii="Times New Roman" w:hAnsi="Times New Roman" w:eastAsia="仿宋_GB2312" w:cs="Times New Roman"/>
          <w:color w:val="000000"/>
          <w:spacing w:val="0"/>
          <w:kern w:val="21"/>
          <w:sz w:val="32"/>
          <w:szCs w:val="32"/>
          <w:lang w:val="en-US" w:eastAsia="zh-CN" w:bidi="ar-SA"/>
        </w:rPr>
        <w:t>我局</w:t>
      </w:r>
      <w:r>
        <w:rPr>
          <w:rFonts w:hint="default" w:ascii="Times New Roman" w:hAnsi="Times New Roman" w:eastAsia="仿宋_GB2312" w:cs="Times New Roman"/>
          <w:color w:val="000000"/>
          <w:spacing w:val="0"/>
          <w:kern w:val="21"/>
          <w:sz w:val="32"/>
          <w:szCs w:val="32"/>
          <w:lang w:val="en-US" w:eastAsia="zh-CN" w:bidi="ar-SA"/>
        </w:rPr>
        <w:t>认真落实信息发布审核制度，</w:t>
      </w:r>
      <w:r>
        <w:rPr>
          <w:rFonts w:hint="eastAsia" w:ascii="Times New Roman" w:hAnsi="Times New Roman" w:eastAsia="仿宋_GB2312" w:cs="Times New Roman"/>
          <w:color w:val="000000"/>
          <w:spacing w:val="0"/>
          <w:kern w:val="21"/>
          <w:sz w:val="32"/>
          <w:szCs w:val="32"/>
          <w:lang w:val="en-US" w:eastAsia="zh-CN" w:bidi="ar-SA"/>
        </w:rPr>
        <w:t>强化保密审查和信息发布审核机制，按照“谁审查、谁负责，谁发布、谁负责，先审查、后发布”和“涉密信息不上网，上网信息不涉密”的原则，全面落实“三审”机制，严格规范流程，由办公室统一及时公开，确保政府信息公开工作全面及时准确、规范运作。未发布本单位规章、行政规范性文件。</w:t>
      </w:r>
    </w:p>
    <w:p w14:paraId="1F00D7B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color w:val="000000"/>
          <w:spacing w:val="0"/>
          <w:kern w:val="21"/>
          <w:sz w:val="32"/>
          <w:szCs w:val="32"/>
          <w:lang w:val="en-US" w:eastAsia="zh-CN" w:bidi="ar-SA"/>
        </w:rPr>
      </w:pPr>
      <w:r>
        <w:rPr>
          <w:rFonts w:hint="eastAsia" w:ascii="楷体_GB2312" w:hAnsi="楷体_GB2312" w:eastAsia="楷体_GB2312" w:cs="楷体_GB2312"/>
          <w:b/>
          <w:bCs/>
          <w:color w:val="000000"/>
          <w:spacing w:val="0"/>
          <w:kern w:val="21"/>
          <w:sz w:val="32"/>
          <w:szCs w:val="32"/>
          <w:lang w:val="en-US" w:eastAsia="zh-CN" w:bidi="ar-SA"/>
        </w:rPr>
        <w:t>（四）平台建设方面</w:t>
      </w:r>
    </w:p>
    <w:p w14:paraId="7A54C4AE">
      <w:pPr>
        <w:pStyle w:val="7"/>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spacing w:val="0"/>
          <w:kern w:val="21"/>
          <w:sz w:val="32"/>
          <w:szCs w:val="32"/>
          <w:lang w:val="en-US" w:eastAsia="zh-CN" w:bidi="ar-SA"/>
        </w:rPr>
      </w:pPr>
      <w:r>
        <w:rPr>
          <w:rFonts w:hint="eastAsia" w:ascii="Times New Roman" w:hAnsi="Times New Roman" w:eastAsia="仿宋_GB2312" w:cs="Times New Roman"/>
          <w:color w:val="000000"/>
          <w:spacing w:val="0"/>
          <w:kern w:val="21"/>
          <w:sz w:val="32"/>
          <w:szCs w:val="32"/>
          <w:lang w:val="en-US" w:eastAsia="zh-CN" w:bidi="ar-SA"/>
        </w:rPr>
        <w:t>持续加强政府网站“正宁双拥”专题专栏建设，牢固树立精品意识，严把信息质量关，实事求是报送每一条信息，注重信息的时效性和有效性，及时更新工作动态。持续推进网站队伍专业化规范化建设，加强技术学习培训，为政务信息公开工作提供了有力支撑。持续加大“正宁退役军人”平台建设和政务信息公开，进一步提高网民对退役军人事务工作的关注度和认可度，不断强化我县双拥共建浓厚氛围。</w:t>
      </w:r>
    </w:p>
    <w:p w14:paraId="720BBDC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color w:val="000000"/>
          <w:spacing w:val="0"/>
          <w:kern w:val="21"/>
          <w:sz w:val="32"/>
          <w:szCs w:val="32"/>
          <w:lang w:val="en-US" w:eastAsia="zh-CN" w:bidi="ar-SA"/>
        </w:rPr>
      </w:pPr>
      <w:r>
        <w:rPr>
          <w:rFonts w:hint="eastAsia" w:ascii="楷体_GB2312" w:hAnsi="楷体_GB2312" w:eastAsia="楷体_GB2312" w:cs="楷体_GB2312"/>
          <w:b/>
          <w:bCs/>
          <w:color w:val="000000"/>
          <w:spacing w:val="0"/>
          <w:kern w:val="21"/>
          <w:sz w:val="32"/>
          <w:szCs w:val="32"/>
          <w:lang w:val="en-US" w:eastAsia="zh-CN" w:bidi="ar-SA"/>
        </w:rPr>
        <w:t>（五）监督保障方面</w:t>
      </w:r>
    </w:p>
    <w:p w14:paraId="4E79B0E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000000"/>
          <w:spacing w:val="0"/>
          <w:kern w:val="21"/>
          <w:sz w:val="32"/>
          <w:szCs w:val="32"/>
          <w:lang w:val="en-US" w:eastAsia="zh-CN" w:bidi="ar-SA"/>
        </w:rPr>
      </w:pPr>
      <w:r>
        <w:rPr>
          <w:rFonts w:hint="default" w:ascii="Times New Roman" w:hAnsi="Times New Roman" w:eastAsia="仿宋_GB2312" w:cs="Times New Roman"/>
          <w:b/>
          <w:bCs/>
          <w:color w:val="000000"/>
          <w:spacing w:val="0"/>
          <w:kern w:val="21"/>
          <w:sz w:val="32"/>
          <w:szCs w:val="32"/>
          <w:lang w:val="en-US" w:eastAsia="zh-CN" w:bidi="ar-SA"/>
        </w:rPr>
        <w:t>一是</w:t>
      </w:r>
      <w:r>
        <w:rPr>
          <w:rFonts w:hint="eastAsia" w:ascii="Times New Roman" w:hAnsi="Times New Roman" w:eastAsia="仿宋_GB2312" w:cs="Times New Roman"/>
          <w:b/>
          <w:bCs/>
          <w:color w:val="000000"/>
          <w:spacing w:val="0"/>
          <w:kern w:val="21"/>
          <w:sz w:val="32"/>
          <w:szCs w:val="32"/>
          <w:lang w:val="en-US" w:eastAsia="zh-CN" w:bidi="ar-SA"/>
        </w:rPr>
        <w:t>加强机制保障。</w:t>
      </w:r>
      <w:r>
        <w:rPr>
          <w:rFonts w:hint="eastAsia" w:ascii="Times New Roman" w:hAnsi="Times New Roman" w:eastAsia="仿宋_GB2312" w:cs="Times New Roman"/>
          <w:color w:val="000000"/>
          <w:spacing w:val="0"/>
          <w:kern w:val="21"/>
          <w:sz w:val="32"/>
          <w:szCs w:val="32"/>
          <w:lang w:val="en-US" w:eastAsia="zh-CN" w:bidi="ar-SA"/>
        </w:rPr>
        <w:t>我局高度重视政府信息公开工作，严格落实信息发布主体责任，明确了分管领导和业务人员，及时协调解决工作中遇到的问题和困难，为做好政府信息公开工作提供了坚实的保障。</w:t>
      </w:r>
      <w:r>
        <w:rPr>
          <w:rFonts w:hint="default" w:ascii="Times New Roman" w:hAnsi="Times New Roman" w:eastAsia="仿宋_GB2312" w:cs="Times New Roman"/>
          <w:b/>
          <w:bCs/>
          <w:color w:val="000000"/>
          <w:spacing w:val="0"/>
          <w:kern w:val="21"/>
          <w:sz w:val="32"/>
          <w:szCs w:val="32"/>
          <w:lang w:val="en-US" w:eastAsia="zh-CN" w:bidi="ar-SA"/>
        </w:rPr>
        <w:t>二是</w:t>
      </w:r>
      <w:r>
        <w:rPr>
          <w:rFonts w:hint="eastAsia" w:ascii="Times New Roman" w:hAnsi="Times New Roman" w:eastAsia="仿宋_GB2312" w:cs="Times New Roman"/>
          <w:b/>
          <w:bCs/>
          <w:color w:val="000000"/>
          <w:spacing w:val="0"/>
          <w:kern w:val="21"/>
          <w:sz w:val="32"/>
          <w:szCs w:val="32"/>
          <w:lang w:val="en-US" w:eastAsia="zh-CN" w:bidi="ar-SA"/>
        </w:rPr>
        <w:t>加强平台监测。</w:t>
      </w:r>
      <w:r>
        <w:rPr>
          <w:rFonts w:hint="eastAsia" w:ascii="Times New Roman" w:hAnsi="Times New Roman" w:eastAsia="仿宋_GB2312" w:cs="Times New Roman"/>
          <w:color w:val="000000"/>
          <w:spacing w:val="0"/>
          <w:kern w:val="21"/>
          <w:sz w:val="32"/>
          <w:szCs w:val="32"/>
          <w:lang w:val="en-US" w:eastAsia="zh-CN" w:bidi="ar-SA"/>
        </w:rPr>
        <w:t>指定业务人员具体负责办理日常工作，严格按照有关要求和程序，及时规范答复正常的网民留言；认真做好政务新媒体平台监测管理，加强网络舆情处置工作，未发生重大舆情。</w:t>
      </w:r>
      <w:r>
        <w:rPr>
          <w:rFonts w:hint="eastAsia" w:ascii="Times New Roman" w:hAnsi="Times New Roman" w:eastAsia="仿宋_GB2312" w:cs="Times New Roman"/>
          <w:b/>
          <w:bCs/>
          <w:color w:val="000000"/>
          <w:spacing w:val="0"/>
          <w:kern w:val="21"/>
          <w:sz w:val="32"/>
          <w:szCs w:val="32"/>
          <w:lang w:val="en-US" w:eastAsia="zh-CN" w:bidi="ar-SA"/>
        </w:rPr>
        <w:t>三是加强社会监督</w:t>
      </w:r>
      <w:r>
        <w:rPr>
          <w:rFonts w:hint="default" w:ascii="Times New Roman" w:hAnsi="Times New Roman" w:eastAsia="仿宋_GB2312" w:cs="Times New Roman"/>
          <w:b/>
          <w:bCs/>
          <w:color w:val="000000"/>
          <w:spacing w:val="0"/>
          <w:kern w:val="21"/>
          <w:sz w:val="32"/>
          <w:szCs w:val="32"/>
          <w:lang w:val="en-US" w:eastAsia="zh-CN" w:bidi="ar-SA"/>
        </w:rPr>
        <w:t>。</w:t>
      </w:r>
      <w:r>
        <w:rPr>
          <w:rFonts w:hint="default" w:ascii="Times New Roman" w:hAnsi="Times New Roman" w:eastAsia="仿宋_GB2312" w:cs="Times New Roman"/>
          <w:color w:val="000000"/>
          <w:spacing w:val="0"/>
          <w:kern w:val="21"/>
          <w:sz w:val="32"/>
          <w:szCs w:val="32"/>
          <w:lang w:val="en-US" w:eastAsia="zh-CN" w:bidi="ar-SA"/>
        </w:rPr>
        <w:t>及时向群众</w:t>
      </w:r>
      <w:r>
        <w:rPr>
          <w:rFonts w:hint="eastAsia" w:ascii="Times New Roman" w:hAnsi="Times New Roman" w:eastAsia="仿宋_GB2312" w:cs="Times New Roman"/>
          <w:color w:val="000000"/>
          <w:spacing w:val="0"/>
          <w:kern w:val="21"/>
          <w:sz w:val="32"/>
          <w:szCs w:val="32"/>
          <w:lang w:val="en-US" w:eastAsia="zh-CN" w:bidi="ar-SA"/>
        </w:rPr>
        <w:t>公布、</w:t>
      </w:r>
      <w:r>
        <w:rPr>
          <w:rFonts w:hint="default" w:ascii="Times New Roman" w:hAnsi="Times New Roman" w:eastAsia="仿宋_GB2312" w:cs="Times New Roman"/>
          <w:color w:val="000000"/>
          <w:spacing w:val="0"/>
          <w:kern w:val="21"/>
          <w:sz w:val="32"/>
          <w:szCs w:val="32"/>
          <w:lang w:val="en-US" w:eastAsia="zh-CN" w:bidi="ar-SA"/>
        </w:rPr>
        <w:t>更新投诉举报电话，确保民意畅达，</w:t>
      </w:r>
      <w:r>
        <w:rPr>
          <w:rFonts w:hint="eastAsia" w:ascii="Times New Roman" w:hAnsi="Times New Roman" w:eastAsia="仿宋_GB2312" w:cs="Times New Roman"/>
          <w:color w:val="000000"/>
          <w:spacing w:val="0"/>
          <w:kern w:val="21"/>
          <w:sz w:val="32"/>
          <w:szCs w:val="32"/>
          <w:lang w:val="en-US" w:eastAsia="zh-CN" w:bidi="ar-SA"/>
        </w:rPr>
        <w:t>认真</w:t>
      </w:r>
      <w:r>
        <w:rPr>
          <w:rFonts w:hint="default" w:ascii="Times New Roman" w:hAnsi="Times New Roman" w:eastAsia="仿宋_GB2312" w:cs="Times New Roman"/>
          <w:color w:val="000000"/>
          <w:spacing w:val="0"/>
          <w:kern w:val="21"/>
          <w:sz w:val="32"/>
          <w:szCs w:val="32"/>
          <w:lang w:val="en-US" w:eastAsia="zh-CN" w:bidi="ar-SA"/>
        </w:rPr>
        <w:t>听取群众意见并结合</w:t>
      </w:r>
      <w:r>
        <w:rPr>
          <w:rFonts w:hint="eastAsia" w:ascii="Times New Roman" w:hAnsi="Times New Roman" w:eastAsia="仿宋_GB2312" w:cs="Times New Roman"/>
          <w:color w:val="000000"/>
          <w:spacing w:val="0"/>
          <w:kern w:val="21"/>
          <w:sz w:val="32"/>
          <w:szCs w:val="32"/>
          <w:lang w:val="en-US" w:eastAsia="zh-CN" w:bidi="ar-SA"/>
        </w:rPr>
        <w:t>工作</w:t>
      </w:r>
      <w:r>
        <w:rPr>
          <w:rFonts w:hint="default" w:ascii="Times New Roman" w:hAnsi="Times New Roman" w:eastAsia="仿宋_GB2312" w:cs="Times New Roman"/>
          <w:color w:val="000000"/>
          <w:spacing w:val="0"/>
          <w:kern w:val="21"/>
          <w:sz w:val="32"/>
          <w:szCs w:val="32"/>
          <w:lang w:val="en-US" w:eastAsia="zh-CN" w:bidi="ar-SA"/>
        </w:rPr>
        <w:t>实际做好整改。</w:t>
      </w:r>
    </w:p>
    <w:p w14:paraId="0C501FE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spacing w:val="0"/>
          <w:kern w:val="21"/>
          <w:sz w:val="32"/>
          <w:szCs w:val="32"/>
          <w:lang w:val="en-US" w:eastAsia="zh-CN" w:bidi="ar-SA"/>
        </w:rPr>
      </w:pPr>
      <w:r>
        <w:rPr>
          <w:rFonts w:hint="eastAsia" w:ascii="黑体" w:hAnsi="黑体" w:eastAsia="黑体" w:cs="黑体"/>
          <w:color w:val="000000"/>
          <w:spacing w:val="0"/>
          <w:kern w:val="21"/>
          <w:sz w:val="32"/>
          <w:szCs w:val="32"/>
          <w:lang w:val="en-US" w:eastAsia="zh-CN" w:bidi="ar-SA"/>
        </w:rPr>
        <w:t>二、主动公开政府信息情况</w:t>
      </w:r>
    </w:p>
    <w:tbl>
      <w:tblPr>
        <w:tblStyle w:val="8"/>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80"/>
        <w:gridCol w:w="2268"/>
        <w:gridCol w:w="2268"/>
        <w:gridCol w:w="2268"/>
      </w:tblGrid>
      <w:tr w14:paraId="1DDA5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784" w:type="dxa"/>
            <w:gridSpan w:val="4"/>
            <w:noWrap w:val="0"/>
            <w:tcMar>
              <w:left w:w="57" w:type="dxa"/>
              <w:right w:w="57" w:type="dxa"/>
            </w:tcMar>
            <w:vAlign w:val="center"/>
          </w:tcPr>
          <w:p w14:paraId="5697AE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黑体" w:hAnsi="黑体" w:eastAsia="黑体" w:cs="黑体"/>
                <w:color w:val="000000"/>
                <w:kern w:val="0"/>
                <w:sz w:val="20"/>
                <w:szCs w:val="20"/>
                <w:lang w:val="en-US" w:eastAsia="zh-CN" w:bidi="ar"/>
              </w:rPr>
              <w:t>第二十条第（一）项</w:t>
            </w:r>
          </w:p>
        </w:tc>
      </w:tr>
      <w:tr w14:paraId="02317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80" w:type="dxa"/>
            <w:noWrap w:val="0"/>
            <w:tcMar>
              <w:left w:w="57" w:type="dxa"/>
              <w:right w:w="57" w:type="dxa"/>
            </w:tcMar>
            <w:vAlign w:val="center"/>
          </w:tcPr>
          <w:p w14:paraId="34EBDA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信息内容</w:t>
            </w:r>
          </w:p>
        </w:tc>
        <w:tc>
          <w:tcPr>
            <w:tcW w:w="2268" w:type="dxa"/>
            <w:noWrap w:val="0"/>
            <w:tcMar>
              <w:left w:w="57" w:type="dxa"/>
              <w:right w:w="57" w:type="dxa"/>
            </w:tcMar>
            <w:vAlign w:val="center"/>
          </w:tcPr>
          <w:p w14:paraId="280D1D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本年</w:t>
            </w:r>
            <w:r>
              <w:rPr>
                <w:rFonts w:hint="eastAsia" w:ascii="Times New Roman" w:hAnsi="Times New Roman" w:eastAsia="宋体" w:cs="宋体"/>
                <w:kern w:val="0"/>
                <w:sz w:val="20"/>
                <w:szCs w:val="20"/>
                <w:lang w:val="en-US" w:eastAsia="zh-CN" w:bidi="ar"/>
              </w:rPr>
              <w:t>制发件数</w:t>
            </w:r>
          </w:p>
        </w:tc>
        <w:tc>
          <w:tcPr>
            <w:tcW w:w="2268" w:type="dxa"/>
            <w:noWrap w:val="0"/>
            <w:tcMar>
              <w:left w:w="57" w:type="dxa"/>
              <w:right w:w="57" w:type="dxa"/>
            </w:tcMar>
            <w:vAlign w:val="center"/>
          </w:tcPr>
          <w:p w14:paraId="10D2FE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本年废止件数</w:t>
            </w:r>
          </w:p>
        </w:tc>
        <w:tc>
          <w:tcPr>
            <w:tcW w:w="2268" w:type="dxa"/>
            <w:noWrap w:val="0"/>
            <w:tcMar>
              <w:left w:w="57" w:type="dxa"/>
              <w:right w:w="57" w:type="dxa"/>
            </w:tcMar>
            <w:vAlign w:val="center"/>
          </w:tcPr>
          <w:p w14:paraId="74D6A8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现行有效件</w:t>
            </w:r>
            <w:r>
              <w:rPr>
                <w:rFonts w:hint="eastAsia" w:ascii="Times New Roman" w:hAnsi="Times New Roman" w:eastAsia="宋体" w:cs="宋体"/>
                <w:kern w:val="0"/>
                <w:sz w:val="20"/>
                <w:szCs w:val="20"/>
                <w:lang w:val="en-US" w:eastAsia="zh-CN" w:bidi="ar"/>
              </w:rPr>
              <w:t>数</w:t>
            </w:r>
          </w:p>
        </w:tc>
      </w:tr>
      <w:tr w14:paraId="2E1B3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80" w:type="dxa"/>
            <w:noWrap w:val="0"/>
            <w:tcMar>
              <w:left w:w="57" w:type="dxa"/>
              <w:right w:w="57" w:type="dxa"/>
            </w:tcMar>
            <w:vAlign w:val="center"/>
          </w:tcPr>
          <w:p w14:paraId="58F356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规章</w:t>
            </w:r>
          </w:p>
        </w:tc>
        <w:tc>
          <w:tcPr>
            <w:tcW w:w="2268" w:type="dxa"/>
            <w:noWrap w:val="0"/>
            <w:tcMar>
              <w:left w:w="57" w:type="dxa"/>
              <w:right w:w="57" w:type="dxa"/>
            </w:tcMar>
            <w:vAlign w:val="center"/>
          </w:tcPr>
          <w:p w14:paraId="4A737C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2268" w:type="dxa"/>
            <w:noWrap w:val="0"/>
            <w:tcMar>
              <w:left w:w="57" w:type="dxa"/>
              <w:right w:w="57" w:type="dxa"/>
            </w:tcMar>
            <w:vAlign w:val="center"/>
          </w:tcPr>
          <w:p w14:paraId="5A5B9F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2268" w:type="dxa"/>
            <w:noWrap w:val="0"/>
            <w:tcMar>
              <w:left w:w="57" w:type="dxa"/>
              <w:right w:w="57" w:type="dxa"/>
            </w:tcMar>
            <w:vAlign w:val="center"/>
          </w:tcPr>
          <w:p w14:paraId="358487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3A48A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80" w:type="dxa"/>
            <w:noWrap w:val="0"/>
            <w:tcMar>
              <w:left w:w="57" w:type="dxa"/>
              <w:right w:w="57" w:type="dxa"/>
            </w:tcMar>
            <w:vAlign w:val="center"/>
          </w:tcPr>
          <w:p w14:paraId="0CBF1D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行政规范性文件</w:t>
            </w:r>
          </w:p>
        </w:tc>
        <w:tc>
          <w:tcPr>
            <w:tcW w:w="2268" w:type="dxa"/>
            <w:noWrap w:val="0"/>
            <w:tcMar>
              <w:left w:w="57" w:type="dxa"/>
              <w:right w:w="57" w:type="dxa"/>
            </w:tcMar>
            <w:vAlign w:val="center"/>
          </w:tcPr>
          <w:p w14:paraId="753DFA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2268" w:type="dxa"/>
            <w:noWrap w:val="0"/>
            <w:tcMar>
              <w:left w:w="57" w:type="dxa"/>
              <w:right w:w="57" w:type="dxa"/>
            </w:tcMar>
            <w:vAlign w:val="center"/>
          </w:tcPr>
          <w:p w14:paraId="5BA2E0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2268" w:type="dxa"/>
            <w:noWrap w:val="0"/>
            <w:tcMar>
              <w:left w:w="57" w:type="dxa"/>
              <w:right w:w="57" w:type="dxa"/>
            </w:tcMar>
            <w:vAlign w:val="center"/>
          </w:tcPr>
          <w:p w14:paraId="30A5C0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20C12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784" w:type="dxa"/>
            <w:gridSpan w:val="4"/>
            <w:noWrap w:val="0"/>
            <w:tcMar>
              <w:left w:w="57" w:type="dxa"/>
              <w:right w:w="57" w:type="dxa"/>
            </w:tcMar>
            <w:vAlign w:val="center"/>
          </w:tcPr>
          <w:p w14:paraId="22C496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黑体" w:hAnsi="黑体" w:eastAsia="黑体" w:cs="黑体"/>
                <w:color w:val="000000"/>
                <w:kern w:val="0"/>
                <w:sz w:val="20"/>
                <w:szCs w:val="20"/>
                <w:lang w:val="en-US" w:eastAsia="zh-CN" w:bidi="ar"/>
              </w:rPr>
              <w:t>第二十条第（五）项</w:t>
            </w:r>
          </w:p>
        </w:tc>
      </w:tr>
      <w:tr w14:paraId="2A931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80" w:type="dxa"/>
            <w:noWrap w:val="0"/>
            <w:tcMar>
              <w:left w:w="57" w:type="dxa"/>
              <w:right w:w="57" w:type="dxa"/>
            </w:tcMar>
            <w:vAlign w:val="center"/>
          </w:tcPr>
          <w:p w14:paraId="3F3CD8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信息内容</w:t>
            </w:r>
          </w:p>
        </w:tc>
        <w:tc>
          <w:tcPr>
            <w:tcW w:w="6804" w:type="dxa"/>
            <w:gridSpan w:val="3"/>
            <w:noWrap w:val="0"/>
            <w:tcMar>
              <w:left w:w="57" w:type="dxa"/>
              <w:right w:w="57" w:type="dxa"/>
            </w:tcMar>
            <w:vAlign w:val="center"/>
          </w:tcPr>
          <w:p w14:paraId="7300F7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本年处理决定数量</w:t>
            </w:r>
          </w:p>
        </w:tc>
      </w:tr>
      <w:tr w14:paraId="6C8EC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80" w:type="dxa"/>
            <w:noWrap w:val="0"/>
            <w:tcMar>
              <w:left w:w="57" w:type="dxa"/>
              <w:right w:w="57" w:type="dxa"/>
            </w:tcMar>
            <w:vAlign w:val="center"/>
          </w:tcPr>
          <w:p w14:paraId="2B8D4C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行政许可</w:t>
            </w:r>
          </w:p>
        </w:tc>
        <w:tc>
          <w:tcPr>
            <w:tcW w:w="6804" w:type="dxa"/>
            <w:gridSpan w:val="3"/>
            <w:noWrap w:val="0"/>
            <w:tcMar>
              <w:left w:w="57" w:type="dxa"/>
              <w:right w:w="57" w:type="dxa"/>
            </w:tcMar>
            <w:vAlign w:val="center"/>
          </w:tcPr>
          <w:p w14:paraId="504472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5F028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784" w:type="dxa"/>
            <w:gridSpan w:val="4"/>
            <w:noWrap w:val="0"/>
            <w:tcMar>
              <w:left w:w="57" w:type="dxa"/>
              <w:right w:w="57" w:type="dxa"/>
            </w:tcMar>
            <w:vAlign w:val="center"/>
          </w:tcPr>
          <w:p w14:paraId="632900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黑体" w:hAnsi="黑体" w:eastAsia="黑体" w:cs="黑体"/>
                <w:color w:val="000000"/>
                <w:kern w:val="0"/>
                <w:sz w:val="20"/>
                <w:szCs w:val="20"/>
                <w:lang w:val="en-US" w:eastAsia="zh-CN" w:bidi="ar"/>
              </w:rPr>
              <w:t>第二十条第（六）项</w:t>
            </w:r>
          </w:p>
        </w:tc>
      </w:tr>
      <w:tr w14:paraId="16991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80" w:type="dxa"/>
            <w:noWrap w:val="0"/>
            <w:tcMar>
              <w:left w:w="57" w:type="dxa"/>
              <w:right w:w="57" w:type="dxa"/>
            </w:tcMar>
            <w:vAlign w:val="center"/>
          </w:tcPr>
          <w:p w14:paraId="1B6477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信息内容</w:t>
            </w:r>
          </w:p>
        </w:tc>
        <w:tc>
          <w:tcPr>
            <w:tcW w:w="6804" w:type="dxa"/>
            <w:gridSpan w:val="3"/>
            <w:noWrap w:val="0"/>
            <w:tcMar>
              <w:left w:w="57" w:type="dxa"/>
              <w:right w:w="57" w:type="dxa"/>
            </w:tcMar>
            <w:vAlign w:val="center"/>
          </w:tcPr>
          <w:p w14:paraId="6F9F0D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本年处理决定数量</w:t>
            </w:r>
          </w:p>
        </w:tc>
      </w:tr>
      <w:tr w14:paraId="378AC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80" w:type="dxa"/>
            <w:noWrap w:val="0"/>
            <w:tcMar>
              <w:left w:w="57" w:type="dxa"/>
              <w:right w:w="57" w:type="dxa"/>
            </w:tcMar>
            <w:vAlign w:val="center"/>
          </w:tcPr>
          <w:p w14:paraId="2839F1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行政处罚</w:t>
            </w:r>
          </w:p>
        </w:tc>
        <w:tc>
          <w:tcPr>
            <w:tcW w:w="6804" w:type="dxa"/>
            <w:gridSpan w:val="3"/>
            <w:noWrap w:val="0"/>
            <w:tcMar>
              <w:left w:w="57" w:type="dxa"/>
              <w:right w:w="57" w:type="dxa"/>
            </w:tcMar>
            <w:vAlign w:val="center"/>
          </w:tcPr>
          <w:p w14:paraId="27E508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5D643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80" w:type="dxa"/>
            <w:noWrap w:val="0"/>
            <w:tcMar>
              <w:left w:w="57" w:type="dxa"/>
              <w:right w:w="57" w:type="dxa"/>
            </w:tcMar>
            <w:vAlign w:val="center"/>
          </w:tcPr>
          <w:p w14:paraId="745AF0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行政强制</w:t>
            </w:r>
          </w:p>
        </w:tc>
        <w:tc>
          <w:tcPr>
            <w:tcW w:w="6804" w:type="dxa"/>
            <w:gridSpan w:val="3"/>
            <w:noWrap w:val="0"/>
            <w:tcMar>
              <w:left w:w="57" w:type="dxa"/>
              <w:right w:w="57" w:type="dxa"/>
            </w:tcMar>
            <w:vAlign w:val="center"/>
          </w:tcPr>
          <w:p w14:paraId="72AF3A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47886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784" w:type="dxa"/>
            <w:gridSpan w:val="4"/>
            <w:noWrap w:val="0"/>
            <w:tcMar>
              <w:left w:w="57" w:type="dxa"/>
              <w:right w:w="57" w:type="dxa"/>
            </w:tcMar>
            <w:vAlign w:val="center"/>
          </w:tcPr>
          <w:p w14:paraId="7868E6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黑体" w:hAnsi="黑体" w:eastAsia="黑体" w:cs="黑体"/>
                <w:color w:val="000000"/>
                <w:kern w:val="0"/>
                <w:sz w:val="20"/>
                <w:szCs w:val="20"/>
                <w:lang w:val="en-US" w:eastAsia="zh-CN" w:bidi="ar"/>
              </w:rPr>
              <w:t>第二十条第（八）项</w:t>
            </w:r>
          </w:p>
        </w:tc>
      </w:tr>
      <w:tr w14:paraId="1AF17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80" w:type="dxa"/>
            <w:noWrap w:val="0"/>
            <w:tcMar>
              <w:left w:w="57" w:type="dxa"/>
              <w:right w:w="57" w:type="dxa"/>
            </w:tcMar>
            <w:vAlign w:val="center"/>
          </w:tcPr>
          <w:p w14:paraId="5E5072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信息内容</w:t>
            </w:r>
          </w:p>
        </w:tc>
        <w:tc>
          <w:tcPr>
            <w:tcW w:w="6804" w:type="dxa"/>
            <w:gridSpan w:val="3"/>
            <w:noWrap w:val="0"/>
            <w:tcMar>
              <w:left w:w="57" w:type="dxa"/>
              <w:right w:w="57" w:type="dxa"/>
            </w:tcMar>
            <w:vAlign w:val="center"/>
          </w:tcPr>
          <w:p w14:paraId="5EB61B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本年收费金额（单位：万元）</w:t>
            </w:r>
          </w:p>
        </w:tc>
      </w:tr>
      <w:tr w14:paraId="2D762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80" w:type="dxa"/>
            <w:noWrap w:val="0"/>
            <w:tcMar>
              <w:left w:w="57" w:type="dxa"/>
              <w:right w:w="57" w:type="dxa"/>
            </w:tcMar>
            <w:vAlign w:val="center"/>
          </w:tcPr>
          <w:p w14:paraId="35D261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行政事业性收费</w:t>
            </w:r>
          </w:p>
        </w:tc>
        <w:tc>
          <w:tcPr>
            <w:tcW w:w="6804" w:type="dxa"/>
            <w:gridSpan w:val="3"/>
            <w:noWrap w:val="0"/>
            <w:tcMar>
              <w:left w:w="57" w:type="dxa"/>
              <w:right w:w="57" w:type="dxa"/>
            </w:tcMar>
            <w:vAlign w:val="center"/>
          </w:tcPr>
          <w:p w14:paraId="04343497">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imes New Roman" w:hAnsi="Times New Roman" w:eastAsia="宋体"/>
                <w:sz w:val="24"/>
                <w:szCs w:val="24"/>
                <w:lang w:val="en-US" w:eastAsia="zh-CN"/>
              </w:rPr>
            </w:pPr>
            <w:r>
              <w:rPr>
                <w:rFonts w:hint="eastAsia" w:ascii="Times New Roman" w:hAnsi="Times New Roman"/>
                <w:sz w:val="24"/>
                <w:szCs w:val="24"/>
                <w:lang w:val="en-US" w:eastAsia="zh-CN"/>
              </w:rPr>
              <w:t>0</w:t>
            </w:r>
          </w:p>
        </w:tc>
      </w:tr>
    </w:tbl>
    <w:p w14:paraId="1529C8F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黑体" w:hAnsi="黑体" w:eastAsia="黑体" w:cs="黑体"/>
          <w:b w:val="0"/>
          <w:bCs w:val="0"/>
          <w:i w:val="0"/>
          <w:iCs w:val="0"/>
          <w:caps w:val="0"/>
          <w:color w:val="333333"/>
          <w:spacing w:val="0"/>
          <w:sz w:val="28"/>
          <w:szCs w:val="28"/>
        </w:rPr>
      </w:pPr>
      <w:r>
        <w:rPr>
          <w:rFonts w:hint="eastAsia" w:ascii="黑体" w:hAnsi="黑体" w:eastAsia="黑体" w:cs="黑体"/>
          <w:b w:val="0"/>
          <w:bCs w:val="0"/>
          <w:i w:val="0"/>
          <w:iCs w:val="0"/>
          <w:caps w:val="0"/>
          <w:color w:val="333333"/>
          <w:spacing w:val="0"/>
          <w:sz w:val="32"/>
          <w:szCs w:val="32"/>
          <w:shd w:val="clear" w:color="auto" w:fill="FFFFFF"/>
        </w:rPr>
        <w:t>三、收到和处理政府信息公开申请情况</w:t>
      </w:r>
    </w:p>
    <w:tbl>
      <w:tblPr>
        <w:tblStyle w:val="8"/>
        <w:tblW w:w="8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5"/>
        <w:gridCol w:w="627"/>
        <w:gridCol w:w="2396"/>
        <w:gridCol w:w="714"/>
        <w:gridCol w:w="680"/>
        <w:gridCol w:w="680"/>
        <w:gridCol w:w="714"/>
        <w:gridCol w:w="714"/>
        <w:gridCol w:w="680"/>
        <w:gridCol w:w="680"/>
      </w:tblGrid>
      <w:tr w14:paraId="1A3E3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988" w:type="dxa"/>
            <w:gridSpan w:val="3"/>
            <w:vMerge w:val="restart"/>
            <w:noWrap w:val="0"/>
            <w:tcMar>
              <w:left w:w="108" w:type="dxa"/>
              <w:right w:w="108" w:type="dxa"/>
            </w:tcMar>
            <w:vAlign w:val="center"/>
          </w:tcPr>
          <w:p w14:paraId="141CCA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ascii="Times New Roman" w:hAnsi="Times New Roman"/>
              </w:rPr>
            </w:pPr>
            <w:r>
              <w:rPr>
                <w:rFonts w:ascii="Times New Roman" w:hAnsi="Times New Roman" w:eastAsia="楷体" w:cs="楷体"/>
                <w:kern w:val="0"/>
                <w:sz w:val="20"/>
                <w:szCs w:val="20"/>
                <w:lang w:val="en-US" w:eastAsia="zh-CN" w:bidi="ar"/>
              </w:rPr>
              <w:t>（本列数据的勾稽关系为：第一项加第二项之和，等于第三项加第四项之和）</w:t>
            </w:r>
          </w:p>
        </w:tc>
        <w:tc>
          <w:tcPr>
            <w:tcW w:w="4862" w:type="dxa"/>
            <w:gridSpan w:val="7"/>
            <w:noWrap w:val="0"/>
            <w:tcMar>
              <w:left w:w="57" w:type="dxa"/>
              <w:right w:w="57" w:type="dxa"/>
            </w:tcMar>
            <w:vAlign w:val="center"/>
          </w:tcPr>
          <w:p w14:paraId="119D3C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申请人情况</w:t>
            </w:r>
          </w:p>
        </w:tc>
      </w:tr>
      <w:tr w14:paraId="2C686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988" w:type="dxa"/>
            <w:gridSpan w:val="3"/>
            <w:vMerge w:val="continue"/>
            <w:noWrap w:val="0"/>
            <w:tcMar>
              <w:left w:w="108" w:type="dxa"/>
              <w:right w:w="108" w:type="dxa"/>
            </w:tcMar>
            <w:vAlign w:val="center"/>
          </w:tcPr>
          <w:p w14:paraId="300AB1CB">
            <w:pPr>
              <w:keepNext w:val="0"/>
              <w:keepLines w:val="0"/>
              <w:pageBreakBefore w:val="0"/>
              <w:kinsoku/>
              <w:wordWrap/>
              <w:overflowPunct/>
              <w:topLinePunct w:val="0"/>
              <w:autoSpaceDE/>
              <w:autoSpaceDN/>
              <w:bidi w:val="0"/>
              <w:adjustRightInd/>
              <w:snapToGrid w:val="0"/>
              <w:spacing w:line="280" w:lineRule="exact"/>
              <w:jc w:val="left"/>
              <w:textAlignment w:val="auto"/>
              <w:rPr>
                <w:rFonts w:hint="eastAsia" w:ascii="Times New Roman" w:hAnsi="Times New Roman"/>
                <w:sz w:val="24"/>
                <w:szCs w:val="24"/>
              </w:rPr>
            </w:pPr>
          </w:p>
        </w:tc>
        <w:tc>
          <w:tcPr>
            <w:tcW w:w="714" w:type="dxa"/>
            <w:vMerge w:val="restart"/>
            <w:noWrap w:val="0"/>
            <w:tcMar>
              <w:left w:w="57" w:type="dxa"/>
              <w:right w:w="57" w:type="dxa"/>
            </w:tcMar>
            <w:vAlign w:val="center"/>
          </w:tcPr>
          <w:p w14:paraId="2D1C06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自然人</w:t>
            </w:r>
          </w:p>
        </w:tc>
        <w:tc>
          <w:tcPr>
            <w:tcW w:w="3468" w:type="dxa"/>
            <w:gridSpan w:val="5"/>
            <w:noWrap w:val="0"/>
            <w:tcMar>
              <w:left w:w="57" w:type="dxa"/>
              <w:right w:w="57" w:type="dxa"/>
            </w:tcMar>
            <w:vAlign w:val="center"/>
          </w:tcPr>
          <w:p w14:paraId="2749ED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法人或其他组织</w:t>
            </w:r>
          </w:p>
        </w:tc>
        <w:tc>
          <w:tcPr>
            <w:tcW w:w="680" w:type="dxa"/>
            <w:vMerge w:val="restart"/>
            <w:noWrap w:val="0"/>
            <w:tcMar>
              <w:left w:w="57" w:type="dxa"/>
              <w:right w:w="57" w:type="dxa"/>
            </w:tcMar>
            <w:vAlign w:val="center"/>
          </w:tcPr>
          <w:p w14:paraId="571253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总计</w:t>
            </w:r>
          </w:p>
        </w:tc>
      </w:tr>
      <w:tr w14:paraId="270EF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7" w:hRule="atLeast"/>
          <w:jc w:val="center"/>
        </w:trPr>
        <w:tc>
          <w:tcPr>
            <w:tcW w:w="3988" w:type="dxa"/>
            <w:gridSpan w:val="3"/>
            <w:vMerge w:val="continue"/>
            <w:noWrap w:val="0"/>
            <w:tcMar>
              <w:left w:w="108" w:type="dxa"/>
              <w:right w:w="108" w:type="dxa"/>
            </w:tcMar>
            <w:vAlign w:val="center"/>
          </w:tcPr>
          <w:p w14:paraId="7EB2D598">
            <w:pPr>
              <w:keepNext w:val="0"/>
              <w:keepLines w:val="0"/>
              <w:pageBreakBefore w:val="0"/>
              <w:kinsoku/>
              <w:wordWrap/>
              <w:overflowPunct/>
              <w:topLinePunct w:val="0"/>
              <w:autoSpaceDE/>
              <w:autoSpaceDN/>
              <w:bidi w:val="0"/>
              <w:adjustRightInd/>
              <w:snapToGrid w:val="0"/>
              <w:spacing w:line="280" w:lineRule="exact"/>
              <w:jc w:val="left"/>
              <w:textAlignment w:val="auto"/>
              <w:rPr>
                <w:rFonts w:hint="eastAsia" w:ascii="Times New Roman" w:hAnsi="Times New Roman"/>
                <w:sz w:val="24"/>
                <w:szCs w:val="24"/>
              </w:rPr>
            </w:pPr>
          </w:p>
        </w:tc>
        <w:tc>
          <w:tcPr>
            <w:tcW w:w="714" w:type="dxa"/>
            <w:vMerge w:val="continue"/>
            <w:noWrap w:val="0"/>
            <w:tcMar>
              <w:left w:w="57" w:type="dxa"/>
              <w:right w:w="57" w:type="dxa"/>
            </w:tcMar>
            <w:vAlign w:val="center"/>
          </w:tcPr>
          <w:p w14:paraId="3AAB5A33">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Times New Roman" w:hAnsi="Times New Roman"/>
                <w:sz w:val="24"/>
                <w:szCs w:val="24"/>
              </w:rPr>
            </w:pPr>
          </w:p>
        </w:tc>
        <w:tc>
          <w:tcPr>
            <w:tcW w:w="680" w:type="dxa"/>
            <w:noWrap w:val="0"/>
            <w:tcMar>
              <w:left w:w="57" w:type="dxa"/>
              <w:right w:w="57" w:type="dxa"/>
            </w:tcMar>
            <w:vAlign w:val="center"/>
          </w:tcPr>
          <w:p w14:paraId="4D8AF0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商业企业</w:t>
            </w:r>
          </w:p>
        </w:tc>
        <w:tc>
          <w:tcPr>
            <w:tcW w:w="680" w:type="dxa"/>
            <w:noWrap w:val="0"/>
            <w:tcMar>
              <w:left w:w="57" w:type="dxa"/>
              <w:right w:w="57" w:type="dxa"/>
            </w:tcMar>
            <w:vAlign w:val="center"/>
          </w:tcPr>
          <w:p w14:paraId="05EE7F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科研机构</w:t>
            </w:r>
          </w:p>
        </w:tc>
        <w:tc>
          <w:tcPr>
            <w:tcW w:w="714" w:type="dxa"/>
            <w:noWrap w:val="0"/>
            <w:tcMar>
              <w:left w:w="57" w:type="dxa"/>
              <w:right w:w="57" w:type="dxa"/>
            </w:tcMar>
            <w:vAlign w:val="center"/>
          </w:tcPr>
          <w:p w14:paraId="7B5AF9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社会公益组织</w:t>
            </w:r>
          </w:p>
        </w:tc>
        <w:tc>
          <w:tcPr>
            <w:tcW w:w="714" w:type="dxa"/>
            <w:noWrap w:val="0"/>
            <w:tcMar>
              <w:left w:w="57" w:type="dxa"/>
              <w:right w:w="57" w:type="dxa"/>
            </w:tcMar>
            <w:vAlign w:val="center"/>
          </w:tcPr>
          <w:p w14:paraId="62EE87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法律服务机构</w:t>
            </w:r>
          </w:p>
        </w:tc>
        <w:tc>
          <w:tcPr>
            <w:tcW w:w="680" w:type="dxa"/>
            <w:noWrap w:val="0"/>
            <w:tcMar>
              <w:left w:w="57" w:type="dxa"/>
              <w:right w:w="57" w:type="dxa"/>
            </w:tcMar>
            <w:vAlign w:val="center"/>
          </w:tcPr>
          <w:p w14:paraId="2C31E8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其他</w:t>
            </w:r>
          </w:p>
        </w:tc>
        <w:tc>
          <w:tcPr>
            <w:tcW w:w="680" w:type="dxa"/>
            <w:vMerge w:val="continue"/>
            <w:noWrap w:val="0"/>
            <w:tcMar>
              <w:left w:w="57" w:type="dxa"/>
              <w:right w:w="57" w:type="dxa"/>
            </w:tcMar>
            <w:vAlign w:val="center"/>
          </w:tcPr>
          <w:p w14:paraId="25845CC5">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Times New Roman" w:hAnsi="Times New Roman"/>
                <w:sz w:val="24"/>
                <w:szCs w:val="24"/>
              </w:rPr>
            </w:pPr>
          </w:p>
        </w:tc>
      </w:tr>
      <w:tr w14:paraId="31C4B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988" w:type="dxa"/>
            <w:gridSpan w:val="3"/>
            <w:noWrap w:val="0"/>
            <w:tcMar>
              <w:left w:w="57" w:type="dxa"/>
              <w:right w:w="57" w:type="dxa"/>
            </w:tcMar>
            <w:vAlign w:val="center"/>
          </w:tcPr>
          <w:p w14:paraId="1EE8F0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一、本年新收政府信息公开申请数量</w:t>
            </w:r>
          </w:p>
        </w:tc>
        <w:tc>
          <w:tcPr>
            <w:tcW w:w="714" w:type="dxa"/>
            <w:noWrap w:val="0"/>
            <w:tcMar>
              <w:left w:w="57" w:type="dxa"/>
              <w:right w:w="57" w:type="dxa"/>
            </w:tcMar>
            <w:vAlign w:val="center"/>
          </w:tcPr>
          <w:p w14:paraId="3EFB01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67B0581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0B5F91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2A79E9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09C86C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25D820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584CBA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7CEEE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988" w:type="dxa"/>
            <w:gridSpan w:val="3"/>
            <w:noWrap w:val="0"/>
            <w:tcMar>
              <w:left w:w="57" w:type="dxa"/>
              <w:right w:w="57" w:type="dxa"/>
            </w:tcMar>
            <w:vAlign w:val="center"/>
          </w:tcPr>
          <w:p w14:paraId="7D420D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二、上年结转政府信息公开申请数量</w:t>
            </w:r>
          </w:p>
        </w:tc>
        <w:tc>
          <w:tcPr>
            <w:tcW w:w="714" w:type="dxa"/>
            <w:noWrap w:val="0"/>
            <w:tcMar>
              <w:left w:w="57" w:type="dxa"/>
              <w:right w:w="57" w:type="dxa"/>
            </w:tcMar>
            <w:vAlign w:val="center"/>
          </w:tcPr>
          <w:p w14:paraId="46856D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208F47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36FEFD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426CFF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2E98A9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4F10FE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6F72F8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5D129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65" w:type="dxa"/>
            <w:vMerge w:val="restart"/>
            <w:noWrap w:val="0"/>
            <w:tcMar>
              <w:left w:w="57" w:type="dxa"/>
              <w:right w:w="57" w:type="dxa"/>
            </w:tcMar>
            <w:vAlign w:val="center"/>
          </w:tcPr>
          <w:p w14:paraId="70465D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三、本年度办理结果</w:t>
            </w:r>
          </w:p>
        </w:tc>
        <w:tc>
          <w:tcPr>
            <w:tcW w:w="3023" w:type="dxa"/>
            <w:gridSpan w:val="2"/>
            <w:noWrap w:val="0"/>
            <w:tcMar>
              <w:left w:w="57" w:type="dxa"/>
              <w:right w:w="57" w:type="dxa"/>
            </w:tcMar>
            <w:vAlign w:val="center"/>
          </w:tcPr>
          <w:p w14:paraId="0B14ED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（一）予以公开</w:t>
            </w:r>
          </w:p>
        </w:tc>
        <w:tc>
          <w:tcPr>
            <w:tcW w:w="714" w:type="dxa"/>
            <w:noWrap w:val="0"/>
            <w:tcMar>
              <w:left w:w="57" w:type="dxa"/>
              <w:right w:w="57" w:type="dxa"/>
            </w:tcMar>
            <w:vAlign w:val="center"/>
          </w:tcPr>
          <w:p w14:paraId="458EFB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1B97ED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46739B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5F55BA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0C0628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36604A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15AB03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7715A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65" w:type="dxa"/>
            <w:vMerge w:val="continue"/>
            <w:noWrap w:val="0"/>
            <w:tcMar>
              <w:left w:w="57" w:type="dxa"/>
              <w:right w:w="57" w:type="dxa"/>
            </w:tcMar>
            <w:vAlign w:val="center"/>
          </w:tcPr>
          <w:p w14:paraId="12953B82">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3023" w:type="dxa"/>
            <w:gridSpan w:val="2"/>
            <w:noWrap w:val="0"/>
            <w:tcMar>
              <w:left w:w="57" w:type="dxa"/>
              <w:right w:w="57" w:type="dxa"/>
            </w:tcMar>
            <w:vAlign w:val="center"/>
          </w:tcPr>
          <w:p w14:paraId="4E72FB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（二）部分公开</w:t>
            </w:r>
            <w:r>
              <w:rPr>
                <w:rFonts w:hint="eastAsia" w:ascii="Times New Roman" w:hAnsi="Times New Roman" w:eastAsia="楷体" w:cs="楷体"/>
                <w:kern w:val="0"/>
                <w:sz w:val="20"/>
                <w:szCs w:val="20"/>
                <w:lang w:val="en-US" w:eastAsia="zh-CN" w:bidi="ar"/>
              </w:rPr>
              <w:t>（区分处理的，只计这一情形，不计其他情形）</w:t>
            </w:r>
          </w:p>
        </w:tc>
        <w:tc>
          <w:tcPr>
            <w:tcW w:w="714" w:type="dxa"/>
            <w:noWrap w:val="0"/>
            <w:tcMar>
              <w:left w:w="57" w:type="dxa"/>
              <w:right w:w="57" w:type="dxa"/>
            </w:tcMar>
            <w:vAlign w:val="center"/>
          </w:tcPr>
          <w:p w14:paraId="0D33D9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5F24A7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548B21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28A531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5387A1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48A11D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67D9B0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0D40A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65" w:type="dxa"/>
            <w:vMerge w:val="continue"/>
            <w:noWrap w:val="0"/>
            <w:tcMar>
              <w:left w:w="57" w:type="dxa"/>
              <w:right w:w="57" w:type="dxa"/>
            </w:tcMar>
            <w:vAlign w:val="center"/>
          </w:tcPr>
          <w:p w14:paraId="487BE58F">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restart"/>
            <w:noWrap w:val="0"/>
            <w:tcMar>
              <w:left w:w="57" w:type="dxa"/>
              <w:right w:w="57" w:type="dxa"/>
            </w:tcMar>
            <w:vAlign w:val="center"/>
          </w:tcPr>
          <w:p w14:paraId="716A0E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（三）不予公开</w:t>
            </w:r>
          </w:p>
        </w:tc>
        <w:tc>
          <w:tcPr>
            <w:tcW w:w="2396" w:type="dxa"/>
            <w:noWrap w:val="0"/>
            <w:tcMar>
              <w:left w:w="57" w:type="dxa"/>
              <w:right w:w="57" w:type="dxa"/>
            </w:tcMar>
            <w:vAlign w:val="center"/>
          </w:tcPr>
          <w:p w14:paraId="069E67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1.属于国家秘密</w:t>
            </w:r>
          </w:p>
        </w:tc>
        <w:tc>
          <w:tcPr>
            <w:tcW w:w="714" w:type="dxa"/>
            <w:noWrap w:val="0"/>
            <w:tcMar>
              <w:left w:w="57" w:type="dxa"/>
              <w:right w:w="57" w:type="dxa"/>
            </w:tcMar>
            <w:vAlign w:val="center"/>
          </w:tcPr>
          <w:p w14:paraId="6A69ED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2F542A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00B9DB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7880A0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2CB44F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4C9F14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7F3129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36F0B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65" w:type="dxa"/>
            <w:vMerge w:val="continue"/>
            <w:noWrap w:val="0"/>
            <w:tcMar>
              <w:left w:w="57" w:type="dxa"/>
              <w:right w:w="57" w:type="dxa"/>
            </w:tcMar>
            <w:vAlign w:val="center"/>
          </w:tcPr>
          <w:p w14:paraId="12D323D1">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1C566AB8">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2396" w:type="dxa"/>
            <w:noWrap w:val="0"/>
            <w:tcMar>
              <w:left w:w="57" w:type="dxa"/>
              <w:right w:w="57" w:type="dxa"/>
            </w:tcMar>
            <w:vAlign w:val="center"/>
          </w:tcPr>
          <w:p w14:paraId="5096EB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2.其他法律行政法规禁止公开</w:t>
            </w:r>
          </w:p>
        </w:tc>
        <w:tc>
          <w:tcPr>
            <w:tcW w:w="714" w:type="dxa"/>
            <w:noWrap w:val="0"/>
            <w:tcMar>
              <w:left w:w="57" w:type="dxa"/>
              <w:right w:w="57" w:type="dxa"/>
            </w:tcMar>
            <w:vAlign w:val="center"/>
          </w:tcPr>
          <w:p w14:paraId="69D60D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2F158E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20C18C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04E540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5EE73E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7F3C34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7EB84B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5E857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54C76A8E">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28A0479E">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2396" w:type="dxa"/>
            <w:noWrap w:val="0"/>
            <w:tcMar>
              <w:left w:w="57" w:type="dxa"/>
              <w:right w:w="57" w:type="dxa"/>
            </w:tcMar>
            <w:vAlign w:val="center"/>
          </w:tcPr>
          <w:p w14:paraId="186EBC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3.危及“三安全一稳定”</w:t>
            </w:r>
          </w:p>
        </w:tc>
        <w:tc>
          <w:tcPr>
            <w:tcW w:w="714" w:type="dxa"/>
            <w:noWrap w:val="0"/>
            <w:tcMar>
              <w:left w:w="57" w:type="dxa"/>
              <w:right w:w="57" w:type="dxa"/>
            </w:tcMar>
            <w:vAlign w:val="center"/>
          </w:tcPr>
          <w:p w14:paraId="2C536D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4DCAFA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16DC14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738597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2AC1C3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687638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4B4F04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668DA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740D6225">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0CAFD9B5">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2396" w:type="dxa"/>
            <w:noWrap w:val="0"/>
            <w:tcMar>
              <w:left w:w="57" w:type="dxa"/>
              <w:right w:w="57" w:type="dxa"/>
            </w:tcMar>
            <w:vAlign w:val="center"/>
          </w:tcPr>
          <w:p w14:paraId="2AC74E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4.保护第三方合法权益</w:t>
            </w:r>
          </w:p>
        </w:tc>
        <w:tc>
          <w:tcPr>
            <w:tcW w:w="714" w:type="dxa"/>
            <w:noWrap w:val="0"/>
            <w:tcMar>
              <w:left w:w="57" w:type="dxa"/>
              <w:right w:w="57" w:type="dxa"/>
            </w:tcMar>
            <w:vAlign w:val="center"/>
          </w:tcPr>
          <w:p w14:paraId="73ECEA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3ED4AE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0196AD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11C749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0E8F53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2FE32F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601930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3FE6F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24440C55">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2D0DDB66">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2396" w:type="dxa"/>
            <w:noWrap w:val="0"/>
            <w:tcMar>
              <w:left w:w="57" w:type="dxa"/>
              <w:right w:w="57" w:type="dxa"/>
            </w:tcMar>
            <w:vAlign w:val="center"/>
          </w:tcPr>
          <w:p w14:paraId="60DDCB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5.属于三类内部事务信息</w:t>
            </w:r>
          </w:p>
        </w:tc>
        <w:tc>
          <w:tcPr>
            <w:tcW w:w="714" w:type="dxa"/>
            <w:noWrap w:val="0"/>
            <w:tcMar>
              <w:left w:w="57" w:type="dxa"/>
              <w:right w:w="57" w:type="dxa"/>
            </w:tcMar>
            <w:vAlign w:val="center"/>
          </w:tcPr>
          <w:p w14:paraId="6390C4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065D75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4DD335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1A82C3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01D976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05D636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14670B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45C61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6074FAF1">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3941B20F">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2396" w:type="dxa"/>
            <w:noWrap w:val="0"/>
            <w:tcMar>
              <w:left w:w="57" w:type="dxa"/>
              <w:right w:w="57" w:type="dxa"/>
            </w:tcMar>
            <w:vAlign w:val="center"/>
          </w:tcPr>
          <w:p w14:paraId="303E11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6.属于四类过程性信息</w:t>
            </w:r>
          </w:p>
        </w:tc>
        <w:tc>
          <w:tcPr>
            <w:tcW w:w="714" w:type="dxa"/>
            <w:noWrap w:val="0"/>
            <w:tcMar>
              <w:left w:w="57" w:type="dxa"/>
              <w:right w:w="57" w:type="dxa"/>
            </w:tcMar>
            <w:vAlign w:val="center"/>
          </w:tcPr>
          <w:p w14:paraId="3F68B9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4DDA5E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4C8904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72C73E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75BD0A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2BC2AD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1384D7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1E881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692F549A">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5AE9BF57">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2396" w:type="dxa"/>
            <w:noWrap w:val="0"/>
            <w:tcMar>
              <w:left w:w="57" w:type="dxa"/>
              <w:right w:w="57" w:type="dxa"/>
            </w:tcMar>
            <w:vAlign w:val="center"/>
          </w:tcPr>
          <w:p w14:paraId="6B1CAA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7.属于行政执法案卷</w:t>
            </w:r>
          </w:p>
        </w:tc>
        <w:tc>
          <w:tcPr>
            <w:tcW w:w="714" w:type="dxa"/>
            <w:noWrap w:val="0"/>
            <w:tcMar>
              <w:left w:w="57" w:type="dxa"/>
              <w:right w:w="57" w:type="dxa"/>
            </w:tcMar>
            <w:vAlign w:val="center"/>
          </w:tcPr>
          <w:p w14:paraId="333B1F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152DE7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0B7F08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171775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5FF051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7F6E3F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37A6E2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4EFA0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34EFA559">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322E9723">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2396" w:type="dxa"/>
            <w:noWrap w:val="0"/>
            <w:tcMar>
              <w:left w:w="57" w:type="dxa"/>
              <w:right w:w="57" w:type="dxa"/>
            </w:tcMar>
            <w:vAlign w:val="center"/>
          </w:tcPr>
          <w:p w14:paraId="3889EA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8.属于行政查询事项</w:t>
            </w:r>
          </w:p>
        </w:tc>
        <w:tc>
          <w:tcPr>
            <w:tcW w:w="714" w:type="dxa"/>
            <w:noWrap w:val="0"/>
            <w:tcMar>
              <w:left w:w="57" w:type="dxa"/>
              <w:right w:w="57" w:type="dxa"/>
            </w:tcMar>
            <w:vAlign w:val="center"/>
          </w:tcPr>
          <w:p w14:paraId="3E0B92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78A34D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105110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50A7D8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607FD9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58FA73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7CB6E1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0DEF0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4558002B">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restart"/>
            <w:noWrap w:val="0"/>
            <w:tcMar>
              <w:left w:w="57" w:type="dxa"/>
              <w:right w:w="57" w:type="dxa"/>
            </w:tcMar>
            <w:vAlign w:val="center"/>
          </w:tcPr>
          <w:p w14:paraId="743CD0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（四）无法提供</w:t>
            </w:r>
          </w:p>
        </w:tc>
        <w:tc>
          <w:tcPr>
            <w:tcW w:w="2396" w:type="dxa"/>
            <w:noWrap w:val="0"/>
            <w:tcMar>
              <w:left w:w="57" w:type="dxa"/>
              <w:right w:w="57" w:type="dxa"/>
            </w:tcMar>
            <w:vAlign w:val="center"/>
          </w:tcPr>
          <w:p w14:paraId="0522C0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1.本机关不掌握相关政府信息</w:t>
            </w:r>
          </w:p>
        </w:tc>
        <w:tc>
          <w:tcPr>
            <w:tcW w:w="714" w:type="dxa"/>
            <w:noWrap w:val="0"/>
            <w:tcMar>
              <w:left w:w="57" w:type="dxa"/>
              <w:right w:w="57" w:type="dxa"/>
            </w:tcMar>
            <w:vAlign w:val="center"/>
          </w:tcPr>
          <w:p w14:paraId="51E35E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68BEC9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64E091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3669BF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0B829F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5DE44F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1B0F0A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293FA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6436F2C9">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614E35B1">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Times New Roman" w:hAnsi="Times New Roman"/>
                <w:sz w:val="24"/>
                <w:szCs w:val="24"/>
              </w:rPr>
            </w:pPr>
          </w:p>
        </w:tc>
        <w:tc>
          <w:tcPr>
            <w:tcW w:w="2396" w:type="dxa"/>
            <w:noWrap w:val="0"/>
            <w:tcMar>
              <w:left w:w="57" w:type="dxa"/>
              <w:right w:w="57" w:type="dxa"/>
            </w:tcMar>
            <w:vAlign w:val="center"/>
          </w:tcPr>
          <w:p w14:paraId="241BF9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2.没有现成信息需要另行制作</w:t>
            </w:r>
          </w:p>
        </w:tc>
        <w:tc>
          <w:tcPr>
            <w:tcW w:w="714" w:type="dxa"/>
            <w:noWrap w:val="0"/>
            <w:tcMar>
              <w:left w:w="57" w:type="dxa"/>
              <w:right w:w="57" w:type="dxa"/>
            </w:tcMar>
            <w:vAlign w:val="center"/>
          </w:tcPr>
          <w:p w14:paraId="606C30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1FF952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13E32B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4183B7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14A7C9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34CEB8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160ED2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5BFA8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5371EA3C">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29E4E786">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Times New Roman" w:hAnsi="Times New Roman"/>
                <w:sz w:val="24"/>
                <w:szCs w:val="24"/>
              </w:rPr>
            </w:pPr>
          </w:p>
        </w:tc>
        <w:tc>
          <w:tcPr>
            <w:tcW w:w="2396" w:type="dxa"/>
            <w:noWrap w:val="0"/>
            <w:tcMar>
              <w:left w:w="57" w:type="dxa"/>
              <w:right w:w="57" w:type="dxa"/>
            </w:tcMar>
            <w:vAlign w:val="center"/>
          </w:tcPr>
          <w:p w14:paraId="2420E4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default" w:ascii="Times New Roman" w:hAnsi="Times New Roman"/>
                <w:lang w:val="en-US"/>
              </w:rPr>
            </w:pPr>
            <w:r>
              <w:rPr>
                <w:rFonts w:hint="eastAsia" w:ascii="Times New Roman" w:hAnsi="Times New Roman" w:eastAsia="宋体" w:cs="宋体"/>
                <w:kern w:val="0"/>
                <w:sz w:val="18"/>
                <w:szCs w:val="18"/>
                <w:lang w:val="en-US" w:eastAsia="zh-CN" w:bidi="ar"/>
              </w:rPr>
              <w:t>3.补正后申请内容仍不明</w:t>
            </w:r>
            <w:r>
              <w:rPr>
                <w:rFonts w:hint="eastAsia" w:ascii="Times New Roman" w:hAnsi="Times New Roman" w:cs="宋体"/>
                <w:kern w:val="0"/>
                <w:sz w:val="18"/>
                <w:szCs w:val="18"/>
                <w:lang w:val="en-US" w:eastAsia="zh-CN" w:bidi="ar"/>
              </w:rPr>
              <w:t>确</w:t>
            </w:r>
          </w:p>
        </w:tc>
        <w:tc>
          <w:tcPr>
            <w:tcW w:w="714" w:type="dxa"/>
            <w:noWrap w:val="0"/>
            <w:tcMar>
              <w:left w:w="57" w:type="dxa"/>
              <w:right w:w="57" w:type="dxa"/>
            </w:tcMar>
            <w:vAlign w:val="center"/>
          </w:tcPr>
          <w:p w14:paraId="5AF407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0DDBCB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4FAE67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1906B4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22755A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312F81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50EDCE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309AF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37F53540">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restart"/>
            <w:noWrap w:val="0"/>
            <w:tcMar>
              <w:left w:w="57" w:type="dxa"/>
              <w:right w:w="57" w:type="dxa"/>
            </w:tcMar>
            <w:vAlign w:val="center"/>
          </w:tcPr>
          <w:p w14:paraId="17BB8A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（五）不予处理</w:t>
            </w:r>
          </w:p>
        </w:tc>
        <w:tc>
          <w:tcPr>
            <w:tcW w:w="2396" w:type="dxa"/>
            <w:noWrap w:val="0"/>
            <w:tcMar>
              <w:left w:w="57" w:type="dxa"/>
              <w:right w:w="57" w:type="dxa"/>
            </w:tcMar>
            <w:vAlign w:val="center"/>
          </w:tcPr>
          <w:p w14:paraId="487EB7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1.信访举报投诉类申请</w:t>
            </w:r>
          </w:p>
        </w:tc>
        <w:tc>
          <w:tcPr>
            <w:tcW w:w="714" w:type="dxa"/>
            <w:noWrap w:val="0"/>
            <w:tcMar>
              <w:left w:w="57" w:type="dxa"/>
              <w:right w:w="57" w:type="dxa"/>
            </w:tcMar>
            <w:vAlign w:val="center"/>
          </w:tcPr>
          <w:p w14:paraId="6A581A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1ED38C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34C7C1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060E8C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13789F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0BBEB2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2A5A7F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56CB8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1C2895B8">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43E5A0BD">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Times New Roman" w:hAnsi="Times New Roman"/>
                <w:sz w:val="24"/>
                <w:szCs w:val="24"/>
              </w:rPr>
            </w:pPr>
          </w:p>
        </w:tc>
        <w:tc>
          <w:tcPr>
            <w:tcW w:w="2396" w:type="dxa"/>
            <w:noWrap w:val="0"/>
            <w:tcMar>
              <w:left w:w="57" w:type="dxa"/>
              <w:right w:w="57" w:type="dxa"/>
            </w:tcMar>
            <w:vAlign w:val="center"/>
          </w:tcPr>
          <w:p w14:paraId="3FDF94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2.重复申请</w:t>
            </w:r>
          </w:p>
        </w:tc>
        <w:tc>
          <w:tcPr>
            <w:tcW w:w="714" w:type="dxa"/>
            <w:shd w:val="clear" w:color="auto" w:fill="auto"/>
            <w:noWrap w:val="0"/>
            <w:tcMar>
              <w:left w:w="57" w:type="dxa"/>
              <w:right w:w="57" w:type="dxa"/>
            </w:tcMar>
            <w:vAlign w:val="center"/>
          </w:tcPr>
          <w:p w14:paraId="55B20B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6C77EC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2C0329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714" w:type="dxa"/>
            <w:shd w:val="clear" w:color="auto" w:fill="auto"/>
            <w:noWrap w:val="0"/>
            <w:tcMar>
              <w:left w:w="57" w:type="dxa"/>
              <w:right w:w="57" w:type="dxa"/>
            </w:tcMar>
            <w:vAlign w:val="center"/>
          </w:tcPr>
          <w:p w14:paraId="30B36C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714" w:type="dxa"/>
            <w:shd w:val="clear" w:color="auto" w:fill="auto"/>
            <w:noWrap w:val="0"/>
            <w:tcMar>
              <w:left w:w="57" w:type="dxa"/>
              <w:right w:w="57" w:type="dxa"/>
            </w:tcMar>
            <w:vAlign w:val="center"/>
          </w:tcPr>
          <w:p w14:paraId="0BF41E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5877BE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6E78F2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r>
      <w:tr w14:paraId="46EE2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4D61007E">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089971EE">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Times New Roman" w:hAnsi="Times New Roman"/>
                <w:sz w:val="24"/>
                <w:szCs w:val="24"/>
              </w:rPr>
            </w:pPr>
          </w:p>
        </w:tc>
        <w:tc>
          <w:tcPr>
            <w:tcW w:w="2396" w:type="dxa"/>
            <w:noWrap w:val="0"/>
            <w:tcMar>
              <w:left w:w="57" w:type="dxa"/>
              <w:right w:w="57" w:type="dxa"/>
            </w:tcMar>
            <w:vAlign w:val="center"/>
          </w:tcPr>
          <w:p w14:paraId="48AADE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3.要求提供公开出版物</w:t>
            </w:r>
          </w:p>
        </w:tc>
        <w:tc>
          <w:tcPr>
            <w:tcW w:w="714" w:type="dxa"/>
            <w:shd w:val="clear" w:color="auto" w:fill="auto"/>
            <w:noWrap w:val="0"/>
            <w:tcMar>
              <w:left w:w="57" w:type="dxa"/>
              <w:right w:w="57" w:type="dxa"/>
            </w:tcMar>
            <w:vAlign w:val="center"/>
          </w:tcPr>
          <w:p w14:paraId="4806DD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6BEC10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00581A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714" w:type="dxa"/>
            <w:shd w:val="clear" w:color="auto" w:fill="auto"/>
            <w:noWrap w:val="0"/>
            <w:tcMar>
              <w:left w:w="57" w:type="dxa"/>
              <w:right w:w="57" w:type="dxa"/>
            </w:tcMar>
            <w:vAlign w:val="center"/>
          </w:tcPr>
          <w:p w14:paraId="2C1CA0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714" w:type="dxa"/>
            <w:shd w:val="clear" w:color="auto" w:fill="auto"/>
            <w:noWrap w:val="0"/>
            <w:tcMar>
              <w:left w:w="57" w:type="dxa"/>
              <w:right w:w="57" w:type="dxa"/>
            </w:tcMar>
            <w:vAlign w:val="center"/>
          </w:tcPr>
          <w:p w14:paraId="4BA213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6E6394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424B8A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r>
      <w:tr w14:paraId="1B3B1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09EBF10B">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3A4F07D8">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Times New Roman" w:hAnsi="Times New Roman"/>
                <w:sz w:val="24"/>
                <w:szCs w:val="24"/>
              </w:rPr>
            </w:pPr>
          </w:p>
        </w:tc>
        <w:tc>
          <w:tcPr>
            <w:tcW w:w="2396" w:type="dxa"/>
            <w:noWrap w:val="0"/>
            <w:tcMar>
              <w:left w:w="57" w:type="dxa"/>
              <w:right w:w="57" w:type="dxa"/>
            </w:tcMar>
            <w:vAlign w:val="center"/>
          </w:tcPr>
          <w:p w14:paraId="06614F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4.无正当理由大量反复申请</w:t>
            </w:r>
          </w:p>
        </w:tc>
        <w:tc>
          <w:tcPr>
            <w:tcW w:w="714" w:type="dxa"/>
            <w:shd w:val="clear" w:color="auto" w:fill="auto"/>
            <w:noWrap w:val="0"/>
            <w:tcMar>
              <w:left w:w="57" w:type="dxa"/>
              <w:right w:w="57" w:type="dxa"/>
            </w:tcMar>
            <w:vAlign w:val="center"/>
          </w:tcPr>
          <w:p w14:paraId="1F9723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5D8F42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2540D3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714" w:type="dxa"/>
            <w:shd w:val="clear" w:color="auto" w:fill="auto"/>
            <w:noWrap w:val="0"/>
            <w:tcMar>
              <w:left w:w="57" w:type="dxa"/>
              <w:right w:w="57" w:type="dxa"/>
            </w:tcMar>
            <w:vAlign w:val="center"/>
          </w:tcPr>
          <w:p w14:paraId="6FFA79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714" w:type="dxa"/>
            <w:shd w:val="clear" w:color="auto" w:fill="auto"/>
            <w:noWrap w:val="0"/>
            <w:tcMar>
              <w:left w:w="57" w:type="dxa"/>
              <w:right w:w="57" w:type="dxa"/>
            </w:tcMar>
            <w:vAlign w:val="center"/>
          </w:tcPr>
          <w:p w14:paraId="32FB03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504BE7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50B0F6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r>
      <w:tr w14:paraId="5DAE3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0B89E887">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7E12FDD5">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Times New Roman" w:hAnsi="Times New Roman"/>
                <w:sz w:val="24"/>
                <w:szCs w:val="24"/>
              </w:rPr>
            </w:pPr>
          </w:p>
        </w:tc>
        <w:tc>
          <w:tcPr>
            <w:tcW w:w="2396" w:type="dxa"/>
            <w:noWrap w:val="0"/>
            <w:tcMar>
              <w:left w:w="57" w:type="dxa"/>
              <w:right w:w="57" w:type="dxa"/>
            </w:tcMar>
            <w:vAlign w:val="center"/>
          </w:tcPr>
          <w:p w14:paraId="6444A6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5.要求行政机关确认或重新出具已获取信息</w:t>
            </w:r>
          </w:p>
        </w:tc>
        <w:tc>
          <w:tcPr>
            <w:tcW w:w="714" w:type="dxa"/>
            <w:shd w:val="clear" w:color="auto" w:fill="auto"/>
            <w:noWrap w:val="0"/>
            <w:tcMar>
              <w:left w:w="57" w:type="dxa"/>
              <w:right w:w="57" w:type="dxa"/>
            </w:tcMar>
            <w:vAlign w:val="center"/>
          </w:tcPr>
          <w:p w14:paraId="5EAD3A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170638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6123DA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714" w:type="dxa"/>
            <w:shd w:val="clear" w:color="auto" w:fill="auto"/>
            <w:noWrap w:val="0"/>
            <w:tcMar>
              <w:left w:w="57" w:type="dxa"/>
              <w:right w:w="57" w:type="dxa"/>
            </w:tcMar>
            <w:vAlign w:val="center"/>
          </w:tcPr>
          <w:p w14:paraId="14373F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714" w:type="dxa"/>
            <w:shd w:val="clear" w:color="auto" w:fill="auto"/>
            <w:noWrap w:val="0"/>
            <w:tcMar>
              <w:left w:w="57" w:type="dxa"/>
              <w:right w:w="57" w:type="dxa"/>
            </w:tcMar>
            <w:vAlign w:val="center"/>
          </w:tcPr>
          <w:p w14:paraId="7C4EE4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0A8720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13BEA9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r>
      <w:tr w14:paraId="259C5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47356729">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restart"/>
            <w:noWrap w:val="0"/>
            <w:tcMar>
              <w:left w:w="57" w:type="dxa"/>
              <w:right w:w="57" w:type="dxa"/>
            </w:tcMar>
            <w:vAlign w:val="center"/>
          </w:tcPr>
          <w:p w14:paraId="00F3F2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（六）其他处理</w:t>
            </w:r>
          </w:p>
        </w:tc>
        <w:tc>
          <w:tcPr>
            <w:tcW w:w="2396" w:type="dxa"/>
            <w:noWrap w:val="0"/>
            <w:tcMar>
              <w:left w:w="57" w:type="dxa"/>
              <w:right w:w="57" w:type="dxa"/>
            </w:tcMar>
            <w:vAlign w:val="center"/>
          </w:tcPr>
          <w:p w14:paraId="0A1960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1.申请人无正当理由逾期不补正、行政机关不再处理其政府信息公开申请</w:t>
            </w:r>
          </w:p>
        </w:tc>
        <w:tc>
          <w:tcPr>
            <w:tcW w:w="714" w:type="dxa"/>
            <w:shd w:val="clear" w:color="auto" w:fill="auto"/>
            <w:noWrap w:val="0"/>
            <w:tcMar>
              <w:left w:w="57" w:type="dxa"/>
              <w:right w:w="57" w:type="dxa"/>
            </w:tcMar>
            <w:vAlign w:val="center"/>
          </w:tcPr>
          <w:p w14:paraId="0D4010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550FBB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3F53F6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714" w:type="dxa"/>
            <w:shd w:val="clear" w:color="auto" w:fill="auto"/>
            <w:noWrap w:val="0"/>
            <w:tcMar>
              <w:left w:w="57" w:type="dxa"/>
              <w:right w:w="57" w:type="dxa"/>
            </w:tcMar>
            <w:vAlign w:val="center"/>
          </w:tcPr>
          <w:p w14:paraId="4F4313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714" w:type="dxa"/>
            <w:shd w:val="clear" w:color="auto" w:fill="auto"/>
            <w:noWrap w:val="0"/>
            <w:tcMar>
              <w:left w:w="57" w:type="dxa"/>
              <w:right w:w="57" w:type="dxa"/>
            </w:tcMar>
            <w:vAlign w:val="center"/>
          </w:tcPr>
          <w:p w14:paraId="3BB9D9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27D73C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297583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r>
      <w:tr w14:paraId="5CDD3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23B0C82C">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530DB175">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2396" w:type="dxa"/>
            <w:noWrap w:val="0"/>
            <w:tcMar>
              <w:left w:w="57" w:type="dxa"/>
              <w:right w:w="57" w:type="dxa"/>
            </w:tcMar>
            <w:vAlign w:val="center"/>
          </w:tcPr>
          <w:p w14:paraId="11FDF7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2.申请人逾期未按收费通知要求缴纳费用、行政机关不再处理其政府信息公开申请</w:t>
            </w:r>
          </w:p>
        </w:tc>
        <w:tc>
          <w:tcPr>
            <w:tcW w:w="714" w:type="dxa"/>
            <w:shd w:val="clear" w:color="auto" w:fill="auto"/>
            <w:noWrap w:val="0"/>
            <w:tcMar>
              <w:left w:w="57" w:type="dxa"/>
              <w:right w:w="57" w:type="dxa"/>
            </w:tcMar>
            <w:vAlign w:val="center"/>
          </w:tcPr>
          <w:p w14:paraId="7ECDAF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190FF9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54A6A5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714" w:type="dxa"/>
            <w:shd w:val="clear" w:color="auto" w:fill="auto"/>
            <w:noWrap w:val="0"/>
            <w:tcMar>
              <w:left w:w="57" w:type="dxa"/>
              <w:right w:w="57" w:type="dxa"/>
            </w:tcMar>
            <w:vAlign w:val="center"/>
          </w:tcPr>
          <w:p w14:paraId="75BC78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714" w:type="dxa"/>
            <w:shd w:val="clear" w:color="auto" w:fill="auto"/>
            <w:noWrap w:val="0"/>
            <w:tcMar>
              <w:left w:w="57" w:type="dxa"/>
              <w:right w:w="57" w:type="dxa"/>
            </w:tcMar>
            <w:vAlign w:val="center"/>
          </w:tcPr>
          <w:p w14:paraId="7A07D1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03100F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0D99AD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r>
      <w:tr w14:paraId="26F3C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6EB01BC9">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2298F563">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2396" w:type="dxa"/>
            <w:noWrap w:val="0"/>
            <w:tcMar>
              <w:left w:w="57" w:type="dxa"/>
              <w:right w:w="57" w:type="dxa"/>
            </w:tcMar>
            <w:vAlign w:val="center"/>
          </w:tcPr>
          <w:p w14:paraId="2B8D1B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3.其他</w:t>
            </w:r>
          </w:p>
        </w:tc>
        <w:tc>
          <w:tcPr>
            <w:tcW w:w="714" w:type="dxa"/>
            <w:shd w:val="clear" w:color="auto" w:fill="auto"/>
            <w:noWrap w:val="0"/>
            <w:tcMar>
              <w:left w:w="57" w:type="dxa"/>
              <w:right w:w="57" w:type="dxa"/>
            </w:tcMar>
            <w:vAlign w:val="center"/>
          </w:tcPr>
          <w:p w14:paraId="2C8F70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3C26FB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2154D2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714" w:type="dxa"/>
            <w:shd w:val="clear" w:color="auto" w:fill="auto"/>
            <w:noWrap w:val="0"/>
            <w:tcMar>
              <w:left w:w="57" w:type="dxa"/>
              <w:right w:w="57" w:type="dxa"/>
            </w:tcMar>
            <w:vAlign w:val="center"/>
          </w:tcPr>
          <w:p w14:paraId="75F948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714" w:type="dxa"/>
            <w:shd w:val="clear" w:color="auto" w:fill="auto"/>
            <w:noWrap w:val="0"/>
            <w:tcMar>
              <w:left w:w="57" w:type="dxa"/>
              <w:right w:w="57" w:type="dxa"/>
            </w:tcMar>
            <w:vAlign w:val="center"/>
          </w:tcPr>
          <w:p w14:paraId="2339C9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20E867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c>
          <w:tcPr>
            <w:tcW w:w="680" w:type="dxa"/>
            <w:shd w:val="clear" w:color="auto" w:fill="auto"/>
            <w:noWrap w:val="0"/>
            <w:tcMar>
              <w:left w:w="57" w:type="dxa"/>
              <w:right w:w="57" w:type="dxa"/>
            </w:tcMar>
            <w:vAlign w:val="center"/>
          </w:tcPr>
          <w:p w14:paraId="25C2B0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lang w:val="en-US" w:eastAsia="zh-CN"/>
              </w:rPr>
              <w:t>0</w:t>
            </w:r>
          </w:p>
        </w:tc>
      </w:tr>
      <w:tr w14:paraId="0EF1D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6D48436A">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3023" w:type="dxa"/>
            <w:gridSpan w:val="2"/>
            <w:noWrap w:val="0"/>
            <w:tcMar>
              <w:left w:w="57" w:type="dxa"/>
              <w:right w:w="57" w:type="dxa"/>
            </w:tcMar>
            <w:vAlign w:val="center"/>
          </w:tcPr>
          <w:p w14:paraId="22D4F1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（七）总计</w:t>
            </w:r>
          </w:p>
        </w:tc>
        <w:tc>
          <w:tcPr>
            <w:tcW w:w="714" w:type="dxa"/>
            <w:noWrap w:val="0"/>
            <w:tcMar>
              <w:left w:w="57" w:type="dxa"/>
              <w:right w:w="57" w:type="dxa"/>
            </w:tcMar>
            <w:vAlign w:val="center"/>
          </w:tcPr>
          <w:p w14:paraId="711310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428CFD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54B03B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6D02B9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667DA4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10D0FF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5FAEA3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0FD67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3988" w:type="dxa"/>
            <w:gridSpan w:val="3"/>
            <w:noWrap w:val="0"/>
            <w:tcMar>
              <w:left w:w="57" w:type="dxa"/>
              <w:right w:w="57" w:type="dxa"/>
            </w:tcMar>
            <w:vAlign w:val="center"/>
          </w:tcPr>
          <w:p w14:paraId="6DADF0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四、结转下年度继续办理</w:t>
            </w:r>
          </w:p>
        </w:tc>
        <w:tc>
          <w:tcPr>
            <w:tcW w:w="714" w:type="dxa"/>
            <w:noWrap w:val="0"/>
            <w:tcMar>
              <w:left w:w="57" w:type="dxa"/>
              <w:right w:w="57" w:type="dxa"/>
            </w:tcMar>
            <w:vAlign w:val="center"/>
          </w:tcPr>
          <w:p w14:paraId="03E007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3397BA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59DAD2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3FFA2A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7CF33A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6DAA07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204CE713">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Times New Roman" w:hAnsi="Times New Roman" w:eastAsia="宋体"/>
                <w:sz w:val="24"/>
                <w:szCs w:val="24"/>
                <w:lang w:val="en-US" w:eastAsia="zh-CN"/>
              </w:rPr>
            </w:pPr>
            <w:r>
              <w:rPr>
                <w:rFonts w:hint="eastAsia" w:ascii="Times New Roman" w:hAnsi="Times New Roman"/>
                <w:sz w:val="24"/>
                <w:szCs w:val="24"/>
                <w:lang w:val="en-US" w:eastAsia="zh-CN"/>
              </w:rPr>
              <w:t>0</w:t>
            </w:r>
          </w:p>
        </w:tc>
      </w:tr>
    </w:tbl>
    <w:p w14:paraId="530988A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Autospacing="0" w:after="0" w:afterAutospacing="0" w:line="600" w:lineRule="exact"/>
        <w:ind w:right="0" w:firstLine="640" w:firstLineChars="200"/>
        <w:jc w:val="both"/>
        <w:textAlignment w:val="auto"/>
        <w:rPr>
          <w:rFonts w:hint="eastAsia" w:ascii="Times New Roman" w:hAnsi="Times New Roman" w:eastAsia="宋体" w:cs="宋体"/>
          <w:i w:val="0"/>
          <w:iCs w:val="0"/>
          <w:caps w:val="0"/>
          <w:color w:val="333333"/>
          <w:spacing w:val="0"/>
          <w:sz w:val="32"/>
          <w:szCs w:val="32"/>
        </w:rPr>
      </w:pPr>
      <w:r>
        <w:rPr>
          <w:rFonts w:hint="eastAsia" w:ascii="黑体" w:hAnsi="黑体" w:eastAsia="黑体" w:cs="黑体"/>
          <w:b w:val="0"/>
          <w:bCs w:val="0"/>
          <w:i w:val="0"/>
          <w:iCs w:val="0"/>
          <w:caps w:val="0"/>
          <w:color w:val="333333"/>
          <w:spacing w:val="0"/>
          <w:sz w:val="32"/>
          <w:szCs w:val="32"/>
          <w:shd w:val="clear" w:color="auto" w:fill="FFFFFF"/>
        </w:rPr>
        <w:t>四、政府信息公开行政复议、行政诉讼情况</w:t>
      </w:r>
    </w:p>
    <w:tbl>
      <w:tblPr>
        <w:tblStyle w:val="8"/>
        <w:tblW w:w="88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8"/>
        <w:gridCol w:w="618"/>
        <w:gridCol w:w="618"/>
        <w:gridCol w:w="618"/>
        <w:gridCol w:w="454"/>
        <w:gridCol w:w="672"/>
        <w:gridCol w:w="618"/>
        <w:gridCol w:w="618"/>
        <w:gridCol w:w="618"/>
        <w:gridCol w:w="454"/>
        <w:gridCol w:w="618"/>
        <w:gridCol w:w="618"/>
        <w:gridCol w:w="618"/>
        <w:gridCol w:w="618"/>
        <w:gridCol w:w="454"/>
      </w:tblGrid>
      <w:tr w14:paraId="6988B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2926" w:type="dxa"/>
            <w:gridSpan w:val="5"/>
            <w:shd w:val="clear" w:color="auto" w:fill="FFFFFF"/>
            <w:noWrap w:val="0"/>
            <w:tcMar>
              <w:left w:w="108" w:type="dxa"/>
              <w:right w:w="108" w:type="dxa"/>
            </w:tcMar>
            <w:vAlign w:val="center"/>
          </w:tcPr>
          <w:p w14:paraId="0B4156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hint="eastAsia" w:ascii="黑体" w:hAnsi="黑体" w:eastAsia="黑体" w:cs="黑体"/>
                <w:color w:val="000000"/>
              </w:rPr>
            </w:pPr>
            <w:r>
              <w:rPr>
                <w:rFonts w:hint="eastAsia" w:ascii="黑体" w:hAnsi="黑体" w:eastAsia="黑体" w:cs="黑体"/>
                <w:color w:val="000000"/>
                <w:kern w:val="0"/>
                <w:sz w:val="20"/>
                <w:szCs w:val="20"/>
                <w:lang w:val="en-US" w:eastAsia="zh-CN" w:bidi="ar"/>
              </w:rPr>
              <w:t>行政复议</w:t>
            </w:r>
          </w:p>
        </w:tc>
        <w:tc>
          <w:tcPr>
            <w:tcW w:w="5906" w:type="dxa"/>
            <w:gridSpan w:val="10"/>
            <w:shd w:val="clear" w:color="auto" w:fill="FFFFFF"/>
            <w:noWrap w:val="0"/>
            <w:tcMar>
              <w:left w:w="108" w:type="dxa"/>
              <w:right w:w="108" w:type="dxa"/>
            </w:tcMar>
            <w:vAlign w:val="center"/>
          </w:tcPr>
          <w:p w14:paraId="4ABC59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hint="eastAsia" w:ascii="黑体" w:hAnsi="黑体" w:eastAsia="黑体" w:cs="黑体"/>
                <w:color w:val="000000"/>
              </w:rPr>
            </w:pPr>
            <w:r>
              <w:rPr>
                <w:rFonts w:hint="eastAsia" w:ascii="黑体" w:hAnsi="黑体" w:eastAsia="黑体" w:cs="黑体"/>
                <w:color w:val="000000"/>
                <w:kern w:val="0"/>
                <w:sz w:val="20"/>
                <w:szCs w:val="20"/>
                <w:lang w:val="en-US" w:eastAsia="zh-CN" w:bidi="ar"/>
              </w:rPr>
              <w:t>行政诉讼</w:t>
            </w:r>
          </w:p>
        </w:tc>
      </w:tr>
      <w:tr w14:paraId="37290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18" w:type="dxa"/>
            <w:vMerge w:val="restart"/>
            <w:shd w:val="clear" w:color="auto" w:fill="FFFFFF"/>
            <w:noWrap w:val="0"/>
            <w:tcMar>
              <w:left w:w="108" w:type="dxa"/>
              <w:right w:w="108" w:type="dxa"/>
            </w:tcMar>
            <w:vAlign w:val="center"/>
          </w:tcPr>
          <w:p w14:paraId="7CB834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imes New Roman" w:hAnsi="Times New Roman" w:eastAsia="宋体" w:cs="Times New Roman"/>
                <w:color w:val="000000"/>
                <w:kern w:val="2"/>
                <w:sz w:val="21"/>
                <w:szCs w:val="24"/>
                <w:lang w:val="en-US" w:eastAsia="zh-CN" w:bidi="ar-SA"/>
              </w:rPr>
            </w:pPr>
            <w:r>
              <w:rPr>
                <w:rFonts w:hint="eastAsia" w:ascii="Times New Roman" w:hAnsi="Times New Roman" w:eastAsia="宋体" w:cs="宋体"/>
                <w:color w:val="000000"/>
                <w:kern w:val="0"/>
                <w:sz w:val="20"/>
                <w:szCs w:val="20"/>
                <w:lang w:val="en-US" w:eastAsia="zh-CN" w:bidi="ar"/>
              </w:rPr>
              <w:t>结果维持</w:t>
            </w:r>
          </w:p>
        </w:tc>
        <w:tc>
          <w:tcPr>
            <w:tcW w:w="618" w:type="dxa"/>
            <w:vMerge w:val="restart"/>
            <w:shd w:val="clear" w:color="auto" w:fill="FFFFFF"/>
            <w:noWrap w:val="0"/>
            <w:tcMar>
              <w:left w:w="108" w:type="dxa"/>
              <w:right w:w="108" w:type="dxa"/>
            </w:tcMar>
            <w:vAlign w:val="center"/>
          </w:tcPr>
          <w:p w14:paraId="6EFB41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hint="eastAsia" w:ascii="Times New Roman" w:hAnsi="Times New Roman" w:eastAsia="宋体" w:cs="Times New Roman"/>
                <w:color w:val="000000"/>
                <w:kern w:val="2"/>
                <w:sz w:val="21"/>
                <w:szCs w:val="24"/>
                <w:lang w:val="en-US" w:eastAsia="zh-CN" w:bidi="ar-SA"/>
              </w:rPr>
            </w:pPr>
            <w:r>
              <w:rPr>
                <w:rFonts w:hint="eastAsia" w:ascii="Times New Roman" w:hAnsi="Times New Roman" w:eastAsia="宋体" w:cs="宋体"/>
                <w:color w:val="000000"/>
                <w:kern w:val="0"/>
                <w:sz w:val="20"/>
                <w:szCs w:val="20"/>
                <w:lang w:val="en-US" w:eastAsia="zh-CN" w:bidi="ar"/>
              </w:rPr>
              <w:t>结果纠正</w:t>
            </w:r>
          </w:p>
        </w:tc>
        <w:tc>
          <w:tcPr>
            <w:tcW w:w="618" w:type="dxa"/>
            <w:vMerge w:val="restart"/>
            <w:shd w:val="clear" w:color="auto" w:fill="FFFFFF"/>
            <w:noWrap w:val="0"/>
            <w:tcMar>
              <w:left w:w="108" w:type="dxa"/>
              <w:right w:w="108" w:type="dxa"/>
            </w:tcMar>
            <w:vAlign w:val="center"/>
          </w:tcPr>
          <w:p w14:paraId="1054A3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hint="eastAsia" w:ascii="Times New Roman" w:hAnsi="Times New Roman" w:eastAsia="宋体" w:cs="Times New Roman"/>
                <w:color w:val="000000"/>
                <w:kern w:val="2"/>
                <w:sz w:val="21"/>
                <w:szCs w:val="24"/>
                <w:lang w:val="en-US" w:eastAsia="zh-CN" w:bidi="ar-SA"/>
              </w:rPr>
            </w:pPr>
            <w:r>
              <w:rPr>
                <w:rFonts w:hint="eastAsia" w:ascii="Times New Roman" w:hAnsi="Times New Roman" w:eastAsia="宋体" w:cs="宋体"/>
                <w:color w:val="000000"/>
                <w:kern w:val="0"/>
                <w:sz w:val="20"/>
                <w:szCs w:val="20"/>
                <w:lang w:val="en-US" w:eastAsia="zh-CN" w:bidi="ar"/>
              </w:rPr>
              <w:t>其他结果</w:t>
            </w:r>
          </w:p>
        </w:tc>
        <w:tc>
          <w:tcPr>
            <w:tcW w:w="618" w:type="dxa"/>
            <w:vMerge w:val="restart"/>
            <w:shd w:val="clear" w:color="auto" w:fill="FFFFFF"/>
            <w:noWrap w:val="0"/>
            <w:tcMar>
              <w:left w:w="108" w:type="dxa"/>
              <w:right w:w="108" w:type="dxa"/>
            </w:tcMar>
            <w:vAlign w:val="center"/>
          </w:tcPr>
          <w:p w14:paraId="7EB6A1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hint="eastAsia" w:ascii="Times New Roman" w:hAnsi="Times New Roman" w:eastAsia="宋体" w:cs="Times New Roman"/>
                <w:color w:val="000000"/>
                <w:kern w:val="2"/>
                <w:sz w:val="21"/>
                <w:szCs w:val="24"/>
                <w:lang w:val="en-US" w:eastAsia="zh-CN" w:bidi="ar-SA"/>
              </w:rPr>
            </w:pPr>
            <w:r>
              <w:rPr>
                <w:rFonts w:hint="eastAsia" w:ascii="Times New Roman" w:hAnsi="Times New Roman" w:eastAsia="宋体" w:cs="宋体"/>
                <w:color w:val="000000"/>
                <w:kern w:val="0"/>
                <w:sz w:val="20"/>
                <w:szCs w:val="20"/>
                <w:lang w:val="en-US" w:eastAsia="zh-CN" w:bidi="ar"/>
              </w:rPr>
              <w:t>尚未审结</w:t>
            </w:r>
          </w:p>
        </w:tc>
        <w:tc>
          <w:tcPr>
            <w:tcW w:w="454" w:type="dxa"/>
            <w:vMerge w:val="restart"/>
            <w:shd w:val="clear" w:color="auto" w:fill="FFFFFF"/>
            <w:noWrap w:val="0"/>
            <w:tcMar>
              <w:left w:w="108" w:type="dxa"/>
              <w:right w:w="108" w:type="dxa"/>
            </w:tcMar>
            <w:vAlign w:val="center"/>
          </w:tcPr>
          <w:p w14:paraId="474548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imes New Roman" w:hAnsi="Times New Roman" w:eastAsia="宋体" w:cs="Times New Roman"/>
                <w:color w:val="000000"/>
                <w:kern w:val="2"/>
                <w:sz w:val="21"/>
                <w:szCs w:val="24"/>
                <w:lang w:val="en-US" w:eastAsia="zh-CN" w:bidi="ar-SA"/>
              </w:rPr>
            </w:pPr>
            <w:r>
              <w:rPr>
                <w:rFonts w:hint="eastAsia" w:ascii="Times New Roman" w:hAnsi="Times New Roman" w:eastAsia="宋体" w:cs="宋体"/>
                <w:color w:val="000000"/>
                <w:kern w:val="0"/>
                <w:sz w:val="20"/>
                <w:szCs w:val="20"/>
                <w:lang w:val="en-US" w:eastAsia="zh-CN" w:bidi="ar"/>
              </w:rPr>
              <w:t>总计</w:t>
            </w:r>
          </w:p>
        </w:tc>
        <w:tc>
          <w:tcPr>
            <w:tcW w:w="2980" w:type="dxa"/>
            <w:gridSpan w:val="5"/>
            <w:shd w:val="clear" w:color="auto" w:fill="FFFFFF"/>
            <w:noWrap w:val="0"/>
            <w:tcMar>
              <w:left w:w="108" w:type="dxa"/>
              <w:right w:w="108" w:type="dxa"/>
            </w:tcMar>
            <w:vAlign w:val="center"/>
          </w:tcPr>
          <w:p w14:paraId="79B65F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hint="eastAsia" w:ascii="Times New Roman" w:hAnsi="Times New Roman" w:eastAsia="宋体" w:cs="宋体"/>
                <w:color w:val="000000"/>
                <w:kern w:val="0"/>
                <w:sz w:val="20"/>
                <w:szCs w:val="20"/>
                <w:lang w:val="en-US" w:eastAsia="zh-CN" w:bidi="ar"/>
              </w:rPr>
            </w:pPr>
            <w:r>
              <w:rPr>
                <w:rFonts w:hint="eastAsia" w:ascii="Times New Roman" w:hAnsi="Times New Roman" w:eastAsia="宋体" w:cs="宋体"/>
                <w:color w:val="000000"/>
                <w:kern w:val="0"/>
                <w:sz w:val="20"/>
                <w:szCs w:val="20"/>
                <w:lang w:val="en-US" w:eastAsia="zh-CN" w:bidi="ar"/>
              </w:rPr>
              <w:t>未经复议直接起诉</w:t>
            </w:r>
          </w:p>
        </w:tc>
        <w:tc>
          <w:tcPr>
            <w:tcW w:w="2926" w:type="dxa"/>
            <w:gridSpan w:val="5"/>
            <w:shd w:val="clear" w:color="auto" w:fill="FFFFFF"/>
            <w:noWrap w:val="0"/>
            <w:tcMar>
              <w:left w:w="108" w:type="dxa"/>
              <w:right w:w="108" w:type="dxa"/>
            </w:tcMar>
            <w:vAlign w:val="center"/>
          </w:tcPr>
          <w:p w14:paraId="08095D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hint="eastAsia" w:ascii="Times New Roman" w:hAnsi="Times New Roman" w:eastAsia="宋体" w:cs="宋体"/>
                <w:color w:val="000000"/>
                <w:kern w:val="0"/>
                <w:sz w:val="20"/>
                <w:szCs w:val="20"/>
                <w:lang w:val="en-US" w:eastAsia="zh-CN" w:bidi="ar"/>
              </w:rPr>
            </w:pPr>
            <w:r>
              <w:rPr>
                <w:rFonts w:hint="eastAsia" w:ascii="Times New Roman" w:hAnsi="Times New Roman" w:eastAsia="宋体" w:cs="宋体"/>
                <w:color w:val="000000"/>
                <w:kern w:val="0"/>
                <w:sz w:val="20"/>
                <w:szCs w:val="20"/>
                <w:lang w:val="en-US" w:eastAsia="zh-CN" w:bidi="ar"/>
              </w:rPr>
              <w:t>复议后起诉</w:t>
            </w:r>
          </w:p>
        </w:tc>
      </w:tr>
      <w:tr w14:paraId="68349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618" w:type="dxa"/>
            <w:vMerge w:val="continue"/>
            <w:shd w:val="clear" w:color="auto" w:fill="FFFFFF"/>
            <w:noWrap w:val="0"/>
            <w:tcMar>
              <w:left w:w="108" w:type="dxa"/>
              <w:right w:w="108" w:type="dxa"/>
            </w:tcMar>
            <w:vAlign w:val="center"/>
          </w:tcPr>
          <w:p w14:paraId="1B2C5338">
            <w:pPr>
              <w:keepNext w:val="0"/>
              <w:keepLines w:val="0"/>
              <w:pageBreakBefore w:val="0"/>
              <w:kinsoku/>
              <w:wordWrap/>
              <w:overflowPunct/>
              <w:topLinePunct w:val="0"/>
              <w:autoSpaceDE/>
              <w:autoSpaceDN/>
              <w:bidi w:val="0"/>
              <w:adjustRightInd/>
              <w:snapToGrid w:val="0"/>
              <w:spacing w:line="260" w:lineRule="exact"/>
              <w:jc w:val="center"/>
              <w:textAlignment w:val="auto"/>
              <w:rPr>
                <w:rFonts w:hint="eastAsia" w:ascii="Times New Roman" w:hAnsi="Times New Roman"/>
                <w:color w:val="000000"/>
                <w:sz w:val="24"/>
                <w:szCs w:val="24"/>
              </w:rPr>
            </w:pPr>
          </w:p>
        </w:tc>
        <w:tc>
          <w:tcPr>
            <w:tcW w:w="618" w:type="dxa"/>
            <w:vMerge w:val="continue"/>
            <w:shd w:val="clear" w:color="auto" w:fill="FFFFFF"/>
            <w:noWrap w:val="0"/>
            <w:tcMar>
              <w:left w:w="108" w:type="dxa"/>
              <w:right w:w="108" w:type="dxa"/>
            </w:tcMar>
            <w:vAlign w:val="center"/>
          </w:tcPr>
          <w:p w14:paraId="34EA4545">
            <w:pPr>
              <w:keepNext w:val="0"/>
              <w:keepLines w:val="0"/>
              <w:pageBreakBefore w:val="0"/>
              <w:kinsoku/>
              <w:wordWrap/>
              <w:overflowPunct/>
              <w:topLinePunct w:val="0"/>
              <w:autoSpaceDE/>
              <w:autoSpaceDN/>
              <w:bidi w:val="0"/>
              <w:adjustRightInd/>
              <w:snapToGrid w:val="0"/>
              <w:spacing w:line="260" w:lineRule="exact"/>
              <w:jc w:val="center"/>
              <w:textAlignment w:val="auto"/>
              <w:rPr>
                <w:rFonts w:hint="eastAsia" w:ascii="Times New Roman" w:hAnsi="Times New Roman"/>
                <w:color w:val="000000"/>
                <w:sz w:val="24"/>
                <w:szCs w:val="24"/>
              </w:rPr>
            </w:pPr>
          </w:p>
        </w:tc>
        <w:tc>
          <w:tcPr>
            <w:tcW w:w="618" w:type="dxa"/>
            <w:vMerge w:val="continue"/>
            <w:shd w:val="clear" w:color="auto" w:fill="FFFFFF"/>
            <w:noWrap w:val="0"/>
            <w:tcMar>
              <w:left w:w="108" w:type="dxa"/>
              <w:right w:w="108" w:type="dxa"/>
            </w:tcMar>
            <w:vAlign w:val="center"/>
          </w:tcPr>
          <w:p w14:paraId="126D1436">
            <w:pPr>
              <w:keepNext w:val="0"/>
              <w:keepLines w:val="0"/>
              <w:pageBreakBefore w:val="0"/>
              <w:kinsoku/>
              <w:wordWrap/>
              <w:overflowPunct/>
              <w:topLinePunct w:val="0"/>
              <w:autoSpaceDE/>
              <w:autoSpaceDN/>
              <w:bidi w:val="0"/>
              <w:adjustRightInd/>
              <w:snapToGrid w:val="0"/>
              <w:spacing w:line="260" w:lineRule="exact"/>
              <w:jc w:val="center"/>
              <w:textAlignment w:val="auto"/>
              <w:rPr>
                <w:rFonts w:hint="eastAsia" w:ascii="Times New Roman" w:hAnsi="Times New Roman"/>
                <w:color w:val="000000"/>
                <w:sz w:val="24"/>
                <w:szCs w:val="24"/>
              </w:rPr>
            </w:pPr>
          </w:p>
        </w:tc>
        <w:tc>
          <w:tcPr>
            <w:tcW w:w="618" w:type="dxa"/>
            <w:vMerge w:val="continue"/>
            <w:shd w:val="clear" w:color="auto" w:fill="FFFFFF"/>
            <w:noWrap w:val="0"/>
            <w:tcMar>
              <w:left w:w="108" w:type="dxa"/>
              <w:right w:w="108" w:type="dxa"/>
            </w:tcMar>
            <w:vAlign w:val="center"/>
          </w:tcPr>
          <w:p w14:paraId="4007546F">
            <w:pPr>
              <w:keepNext w:val="0"/>
              <w:keepLines w:val="0"/>
              <w:pageBreakBefore w:val="0"/>
              <w:kinsoku/>
              <w:wordWrap/>
              <w:overflowPunct/>
              <w:topLinePunct w:val="0"/>
              <w:autoSpaceDE/>
              <w:autoSpaceDN/>
              <w:bidi w:val="0"/>
              <w:adjustRightInd/>
              <w:snapToGrid w:val="0"/>
              <w:spacing w:line="260" w:lineRule="exact"/>
              <w:jc w:val="center"/>
              <w:textAlignment w:val="auto"/>
              <w:rPr>
                <w:rFonts w:hint="eastAsia" w:ascii="Times New Roman" w:hAnsi="Times New Roman"/>
                <w:color w:val="000000"/>
                <w:sz w:val="24"/>
                <w:szCs w:val="24"/>
              </w:rPr>
            </w:pPr>
          </w:p>
        </w:tc>
        <w:tc>
          <w:tcPr>
            <w:tcW w:w="454" w:type="dxa"/>
            <w:vMerge w:val="continue"/>
            <w:shd w:val="clear" w:color="auto" w:fill="FFFFFF"/>
            <w:noWrap w:val="0"/>
            <w:tcMar>
              <w:left w:w="108" w:type="dxa"/>
              <w:right w:w="108" w:type="dxa"/>
            </w:tcMar>
            <w:vAlign w:val="center"/>
          </w:tcPr>
          <w:p w14:paraId="4A420AFE">
            <w:pPr>
              <w:keepNext w:val="0"/>
              <w:keepLines w:val="0"/>
              <w:pageBreakBefore w:val="0"/>
              <w:kinsoku/>
              <w:wordWrap/>
              <w:overflowPunct/>
              <w:topLinePunct w:val="0"/>
              <w:autoSpaceDE/>
              <w:autoSpaceDN/>
              <w:bidi w:val="0"/>
              <w:adjustRightInd/>
              <w:snapToGrid w:val="0"/>
              <w:spacing w:line="260" w:lineRule="exact"/>
              <w:jc w:val="center"/>
              <w:textAlignment w:val="auto"/>
              <w:rPr>
                <w:rFonts w:hint="eastAsia" w:ascii="Times New Roman" w:hAnsi="Times New Roman"/>
                <w:color w:val="000000"/>
                <w:sz w:val="24"/>
                <w:szCs w:val="24"/>
              </w:rPr>
            </w:pPr>
          </w:p>
        </w:tc>
        <w:tc>
          <w:tcPr>
            <w:tcW w:w="672" w:type="dxa"/>
            <w:shd w:val="clear" w:color="auto" w:fill="FFFFFF"/>
            <w:noWrap w:val="0"/>
            <w:tcMar>
              <w:left w:w="108" w:type="dxa"/>
              <w:right w:w="108" w:type="dxa"/>
            </w:tcMar>
            <w:vAlign w:val="center"/>
          </w:tcPr>
          <w:p w14:paraId="4A3317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ascii="Times New Roman" w:hAnsi="Times New Roman"/>
                <w:color w:val="000000"/>
              </w:rPr>
            </w:pPr>
            <w:r>
              <w:rPr>
                <w:rFonts w:hint="eastAsia" w:ascii="Times New Roman" w:hAnsi="Times New Roman" w:eastAsia="宋体" w:cs="宋体"/>
                <w:color w:val="000000"/>
                <w:kern w:val="0"/>
                <w:sz w:val="20"/>
                <w:szCs w:val="20"/>
                <w:lang w:val="en-US" w:eastAsia="zh-CN" w:bidi="ar"/>
              </w:rPr>
              <w:t>结果维持</w:t>
            </w:r>
          </w:p>
        </w:tc>
        <w:tc>
          <w:tcPr>
            <w:tcW w:w="618" w:type="dxa"/>
            <w:shd w:val="clear" w:color="auto" w:fill="FFFFFF"/>
            <w:noWrap w:val="0"/>
            <w:tcMar>
              <w:left w:w="108" w:type="dxa"/>
              <w:right w:w="108" w:type="dxa"/>
            </w:tcMar>
            <w:vAlign w:val="center"/>
          </w:tcPr>
          <w:p w14:paraId="20BEBE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ascii="Times New Roman" w:hAnsi="Times New Roman"/>
                <w:color w:val="000000"/>
              </w:rPr>
            </w:pPr>
            <w:r>
              <w:rPr>
                <w:rFonts w:hint="eastAsia" w:ascii="Times New Roman" w:hAnsi="Times New Roman" w:eastAsia="宋体" w:cs="宋体"/>
                <w:color w:val="000000"/>
                <w:kern w:val="0"/>
                <w:sz w:val="20"/>
                <w:szCs w:val="20"/>
                <w:lang w:val="en-US" w:eastAsia="zh-CN" w:bidi="ar"/>
              </w:rPr>
              <w:t>结果纠正</w:t>
            </w:r>
          </w:p>
        </w:tc>
        <w:tc>
          <w:tcPr>
            <w:tcW w:w="618" w:type="dxa"/>
            <w:shd w:val="clear" w:color="auto" w:fill="FFFFFF"/>
            <w:noWrap w:val="0"/>
            <w:tcMar>
              <w:left w:w="108" w:type="dxa"/>
              <w:right w:w="108" w:type="dxa"/>
            </w:tcMar>
            <w:vAlign w:val="center"/>
          </w:tcPr>
          <w:p w14:paraId="3B8647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ascii="Times New Roman" w:hAnsi="Times New Roman"/>
                <w:color w:val="000000"/>
              </w:rPr>
            </w:pPr>
            <w:r>
              <w:rPr>
                <w:rFonts w:hint="eastAsia" w:ascii="Times New Roman" w:hAnsi="Times New Roman" w:eastAsia="宋体" w:cs="宋体"/>
                <w:color w:val="000000"/>
                <w:kern w:val="0"/>
                <w:sz w:val="20"/>
                <w:szCs w:val="20"/>
                <w:lang w:val="en-US" w:eastAsia="zh-CN" w:bidi="ar"/>
              </w:rPr>
              <w:t>其他结果</w:t>
            </w:r>
          </w:p>
        </w:tc>
        <w:tc>
          <w:tcPr>
            <w:tcW w:w="618" w:type="dxa"/>
            <w:shd w:val="clear" w:color="auto" w:fill="FFFFFF"/>
            <w:noWrap w:val="0"/>
            <w:tcMar>
              <w:left w:w="108" w:type="dxa"/>
              <w:right w:w="108" w:type="dxa"/>
            </w:tcMar>
            <w:vAlign w:val="center"/>
          </w:tcPr>
          <w:p w14:paraId="65C388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ascii="Times New Roman" w:hAnsi="Times New Roman"/>
                <w:color w:val="000000"/>
              </w:rPr>
            </w:pPr>
            <w:r>
              <w:rPr>
                <w:rFonts w:hint="eastAsia" w:ascii="Times New Roman" w:hAnsi="Times New Roman" w:eastAsia="宋体" w:cs="宋体"/>
                <w:color w:val="000000"/>
                <w:kern w:val="0"/>
                <w:sz w:val="20"/>
                <w:szCs w:val="20"/>
                <w:lang w:val="en-US" w:eastAsia="zh-CN" w:bidi="ar"/>
              </w:rPr>
              <w:t>尚未审结</w:t>
            </w:r>
          </w:p>
        </w:tc>
        <w:tc>
          <w:tcPr>
            <w:tcW w:w="454" w:type="dxa"/>
            <w:shd w:val="clear" w:color="auto" w:fill="FFFFFF"/>
            <w:noWrap w:val="0"/>
            <w:tcMar>
              <w:left w:w="108" w:type="dxa"/>
              <w:right w:w="108" w:type="dxa"/>
            </w:tcMar>
            <w:vAlign w:val="center"/>
          </w:tcPr>
          <w:p w14:paraId="0C3CD3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ascii="Times New Roman" w:hAnsi="Times New Roman"/>
                <w:color w:val="000000"/>
              </w:rPr>
            </w:pPr>
            <w:r>
              <w:rPr>
                <w:rFonts w:hint="eastAsia" w:ascii="Times New Roman" w:hAnsi="Times New Roman" w:eastAsia="宋体" w:cs="宋体"/>
                <w:color w:val="000000"/>
                <w:kern w:val="0"/>
                <w:sz w:val="20"/>
                <w:szCs w:val="20"/>
                <w:lang w:val="en-US" w:eastAsia="zh-CN" w:bidi="ar"/>
              </w:rPr>
              <w:t>总计</w:t>
            </w:r>
          </w:p>
        </w:tc>
        <w:tc>
          <w:tcPr>
            <w:tcW w:w="618" w:type="dxa"/>
            <w:shd w:val="clear" w:color="auto" w:fill="FFFFFF"/>
            <w:noWrap w:val="0"/>
            <w:tcMar>
              <w:left w:w="108" w:type="dxa"/>
              <w:right w:w="108" w:type="dxa"/>
            </w:tcMar>
            <w:vAlign w:val="center"/>
          </w:tcPr>
          <w:p w14:paraId="11CE61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ascii="Times New Roman" w:hAnsi="Times New Roman"/>
                <w:color w:val="000000"/>
              </w:rPr>
            </w:pPr>
            <w:r>
              <w:rPr>
                <w:rFonts w:hint="eastAsia" w:ascii="Times New Roman" w:hAnsi="Times New Roman" w:eastAsia="宋体" w:cs="宋体"/>
                <w:color w:val="000000"/>
                <w:kern w:val="0"/>
                <w:sz w:val="20"/>
                <w:szCs w:val="20"/>
                <w:lang w:val="en-US" w:eastAsia="zh-CN" w:bidi="ar"/>
              </w:rPr>
              <w:t>结果维持</w:t>
            </w:r>
          </w:p>
        </w:tc>
        <w:tc>
          <w:tcPr>
            <w:tcW w:w="618" w:type="dxa"/>
            <w:shd w:val="clear" w:color="auto" w:fill="FFFFFF"/>
            <w:noWrap w:val="0"/>
            <w:tcMar>
              <w:left w:w="108" w:type="dxa"/>
              <w:right w:w="108" w:type="dxa"/>
            </w:tcMar>
            <w:vAlign w:val="center"/>
          </w:tcPr>
          <w:p w14:paraId="4F21B5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ascii="Times New Roman" w:hAnsi="Times New Roman"/>
                <w:color w:val="000000"/>
              </w:rPr>
            </w:pPr>
            <w:r>
              <w:rPr>
                <w:rFonts w:hint="eastAsia" w:ascii="Times New Roman" w:hAnsi="Times New Roman" w:eastAsia="宋体" w:cs="宋体"/>
                <w:color w:val="000000"/>
                <w:kern w:val="0"/>
                <w:sz w:val="20"/>
                <w:szCs w:val="20"/>
                <w:lang w:val="en-US" w:eastAsia="zh-CN" w:bidi="ar"/>
              </w:rPr>
              <w:t>结果纠正</w:t>
            </w:r>
          </w:p>
        </w:tc>
        <w:tc>
          <w:tcPr>
            <w:tcW w:w="618" w:type="dxa"/>
            <w:shd w:val="clear" w:color="auto" w:fill="FFFFFF"/>
            <w:noWrap w:val="0"/>
            <w:tcMar>
              <w:left w:w="108" w:type="dxa"/>
              <w:right w:w="108" w:type="dxa"/>
            </w:tcMar>
            <w:vAlign w:val="center"/>
          </w:tcPr>
          <w:p w14:paraId="598164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ascii="Times New Roman" w:hAnsi="Times New Roman"/>
                <w:color w:val="000000"/>
              </w:rPr>
            </w:pPr>
            <w:r>
              <w:rPr>
                <w:rFonts w:hint="eastAsia" w:ascii="Times New Roman" w:hAnsi="Times New Roman" w:eastAsia="宋体" w:cs="宋体"/>
                <w:color w:val="000000"/>
                <w:kern w:val="0"/>
                <w:sz w:val="20"/>
                <w:szCs w:val="20"/>
                <w:lang w:val="en-US" w:eastAsia="zh-CN" w:bidi="ar"/>
              </w:rPr>
              <w:t>其他结果</w:t>
            </w:r>
          </w:p>
        </w:tc>
        <w:tc>
          <w:tcPr>
            <w:tcW w:w="618" w:type="dxa"/>
            <w:shd w:val="clear" w:color="auto" w:fill="FFFFFF"/>
            <w:noWrap w:val="0"/>
            <w:tcMar>
              <w:left w:w="108" w:type="dxa"/>
              <w:right w:w="108" w:type="dxa"/>
            </w:tcMar>
            <w:vAlign w:val="center"/>
          </w:tcPr>
          <w:p w14:paraId="7195C4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ascii="Times New Roman" w:hAnsi="Times New Roman"/>
                <w:color w:val="000000"/>
              </w:rPr>
            </w:pPr>
            <w:r>
              <w:rPr>
                <w:rFonts w:hint="eastAsia" w:ascii="Times New Roman" w:hAnsi="Times New Roman" w:eastAsia="宋体" w:cs="宋体"/>
                <w:color w:val="000000"/>
                <w:kern w:val="0"/>
                <w:sz w:val="20"/>
                <w:szCs w:val="20"/>
                <w:lang w:val="en-US" w:eastAsia="zh-CN" w:bidi="ar"/>
              </w:rPr>
              <w:t>尚未审结</w:t>
            </w:r>
          </w:p>
        </w:tc>
        <w:tc>
          <w:tcPr>
            <w:tcW w:w="454" w:type="dxa"/>
            <w:shd w:val="clear" w:color="auto" w:fill="FFFFFF"/>
            <w:noWrap w:val="0"/>
            <w:tcMar>
              <w:left w:w="108" w:type="dxa"/>
              <w:right w:w="108" w:type="dxa"/>
            </w:tcMar>
            <w:vAlign w:val="center"/>
          </w:tcPr>
          <w:p w14:paraId="1DC211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ascii="Times New Roman" w:hAnsi="Times New Roman"/>
                <w:color w:val="000000"/>
              </w:rPr>
            </w:pPr>
            <w:r>
              <w:rPr>
                <w:rFonts w:hint="eastAsia" w:ascii="Times New Roman" w:hAnsi="Times New Roman" w:eastAsia="宋体" w:cs="宋体"/>
                <w:color w:val="000000"/>
                <w:kern w:val="0"/>
                <w:sz w:val="20"/>
                <w:szCs w:val="20"/>
                <w:lang w:val="en-US" w:eastAsia="zh-CN" w:bidi="ar"/>
              </w:rPr>
              <w:t>总计</w:t>
            </w:r>
          </w:p>
        </w:tc>
      </w:tr>
      <w:tr w14:paraId="750AA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618" w:type="dxa"/>
            <w:shd w:val="clear" w:color="auto" w:fill="FFFFFF"/>
            <w:noWrap w:val="0"/>
            <w:tcMar>
              <w:left w:w="108" w:type="dxa"/>
              <w:right w:w="108" w:type="dxa"/>
            </w:tcMar>
            <w:vAlign w:val="center"/>
          </w:tcPr>
          <w:p w14:paraId="5C62A6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618" w:type="dxa"/>
            <w:shd w:val="clear" w:color="auto" w:fill="FFFFFF"/>
            <w:noWrap w:val="0"/>
            <w:tcMar>
              <w:left w:w="108" w:type="dxa"/>
              <w:right w:w="108" w:type="dxa"/>
            </w:tcMar>
            <w:vAlign w:val="center"/>
          </w:tcPr>
          <w:p w14:paraId="7E2728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618" w:type="dxa"/>
            <w:shd w:val="clear" w:color="auto" w:fill="FFFFFF"/>
            <w:noWrap w:val="0"/>
            <w:tcMar>
              <w:left w:w="108" w:type="dxa"/>
              <w:right w:w="108" w:type="dxa"/>
            </w:tcMar>
            <w:vAlign w:val="center"/>
          </w:tcPr>
          <w:p w14:paraId="6F1B47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618" w:type="dxa"/>
            <w:shd w:val="clear" w:color="auto" w:fill="FFFFFF"/>
            <w:noWrap w:val="0"/>
            <w:tcMar>
              <w:left w:w="108" w:type="dxa"/>
              <w:right w:w="108" w:type="dxa"/>
            </w:tcMar>
            <w:vAlign w:val="center"/>
          </w:tcPr>
          <w:p w14:paraId="6439CF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454" w:type="dxa"/>
            <w:shd w:val="clear" w:color="auto" w:fill="FFFFFF"/>
            <w:noWrap w:val="0"/>
            <w:tcMar>
              <w:left w:w="108" w:type="dxa"/>
              <w:right w:w="108" w:type="dxa"/>
            </w:tcMar>
            <w:vAlign w:val="center"/>
          </w:tcPr>
          <w:p w14:paraId="3A678A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672" w:type="dxa"/>
            <w:shd w:val="clear" w:color="auto" w:fill="FFFFFF"/>
            <w:noWrap w:val="0"/>
            <w:tcMar>
              <w:left w:w="108" w:type="dxa"/>
              <w:right w:w="108" w:type="dxa"/>
            </w:tcMar>
            <w:vAlign w:val="center"/>
          </w:tcPr>
          <w:p w14:paraId="72F422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618" w:type="dxa"/>
            <w:shd w:val="clear" w:color="auto" w:fill="FFFFFF"/>
            <w:noWrap w:val="0"/>
            <w:tcMar>
              <w:left w:w="108" w:type="dxa"/>
              <w:right w:w="108" w:type="dxa"/>
            </w:tcMar>
            <w:vAlign w:val="center"/>
          </w:tcPr>
          <w:p w14:paraId="6A1407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618" w:type="dxa"/>
            <w:shd w:val="clear" w:color="auto" w:fill="FFFFFF"/>
            <w:noWrap w:val="0"/>
            <w:tcMar>
              <w:left w:w="108" w:type="dxa"/>
              <w:right w:w="108" w:type="dxa"/>
            </w:tcMar>
            <w:vAlign w:val="center"/>
          </w:tcPr>
          <w:p w14:paraId="5BCF04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618" w:type="dxa"/>
            <w:shd w:val="clear" w:color="auto" w:fill="FFFFFF"/>
            <w:noWrap w:val="0"/>
            <w:tcMar>
              <w:left w:w="108" w:type="dxa"/>
              <w:right w:w="108" w:type="dxa"/>
            </w:tcMar>
            <w:vAlign w:val="center"/>
          </w:tcPr>
          <w:p w14:paraId="718FB6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454" w:type="dxa"/>
            <w:shd w:val="clear" w:color="auto" w:fill="FFFFFF"/>
            <w:noWrap w:val="0"/>
            <w:tcMar>
              <w:left w:w="108" w:type="dxa"/>
              <w:right w:w="108" w:type="dxa"/>
            </w:tcMar>
            <w:vAlign w:val="center"/>
          </w:tcPr>
          <w:p w14:paraId="544355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618" w:type="dxa"/>
            <w:shd w:val="clear" w:color="auto" w:fill="FFFFFF"/>
            <w:noWrap w:val="0"/>
            <w:tcMar>
              <w:left w:w="108" w:type="dxa"/>
              <w:right w:w="108" w:type="dxa"/>
            </w:tcMar>
            <w:vAlign w:val="center"/>
          </w:tcPr>
          <w:p w14:paraId="3D50EA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618" w:type="dxa"/>
            <w:shd w:val="clear" w:color="auto" w:fill="FFFFFF"/>
            <w:noWrap w:val="0"/>
            <w:tcMar>
              <w:left w:w="108" w:type="dxa"/>
              <w:right w:w="108" w:type="dxa"/>
            </w:tcMar>
            <w:vAlign w:val="center"/>
          </w:tcPr>
          <w:p w14:paraId="52C3A7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618" w:type="dxa"/>
            <w:shd w:val="clear" w:color="auto" w:fill="FFFFFF"/>
            <w:noWrap w:val="0"/>
            <w:tcMar>
              <w:left w:w="108" w:type="dxa"/>
              <w:right w:w="108" w:type="dxa"/>
            </w:tcMar>
            <w:vAlign w:val="center"/>
          </w:tcPr>
          <w:p w14:paraId="6F1EA6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618" w:type="dxa"/>
            <w:shd w:val="clear" w:color="auto" w:fill="FFFFFF"/>
            <w:noWrap w:val="0"/>
            <w:tcMar>
              <w:left w:w="108" w:type="dxa"/>
              <w:right w:w="108" w:type="dxa"/>
            </w:tcMar>
            <w:vAlign w:val="center"/>
          </w:tcPr>
          <w:p w14:paraId="403082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454" w:type="dxa"/>
            <w:shd w:val="clear" w:color="auto" w:fill="FFFFFF"/>
            <w:noWrap w:val="0"/>
            <w:tcMar>
              <w:left w:w="108" w:type="dxa"/>
              <w:right w:w="108" w:type="dxa"/>
            </w:tcMar>
            <w:vAlign w:val="center"/>
          </w:tcPr>
          <w:p w14:paraId="5CC5E4C6">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Times New Roman" w:hAnsi="Times New Roman" w:eastAsia="宋体"/>
                <w:color w:val="000000"/>
                <w:sz w:val="24"/>
                <w:szCs w:val="24"/>
                <w:lang w:val="en-US" w:eastAsia="zh-CN"/>
              </w:rPr>
            </w:pPr>
            <w:r>
              <w:rPr>
                <w:rFonts w:hint="eastAsia" w:ascii="Times New Roman" w:hAnsi="Times New Roman"/>
                <w:color w:val="000000"/>
                <w:sz w:val="24"/>
                <w:szCs w:val="24"/>
                <w:lang w:val="en-US" w:eastAsia="zh-CN"/>
              </w:rPr>
              <w:t>0</w:t>
            </w:r>
          </w:p>
        </w:tc>
      </w:tr>
    </w:tbl>
    <w:p w14:paraId="5A5CC75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eastAsia" w:ascii="黑体" w:hAnsi="黑体" w:eastAsia="黑体" w:cs="黑体"/>
          <w:b w:val="0"/>
          <w:bCs w:val="0"/>
          <w:i w:val="0"/>
          <w:iCs w:val="0"/>
          <w:caps w:val="0"/>
          <w:color w:val="333333"/>
          <w:spacing w:val="0"/>
          <w:sz w:val="32"/>
          <w:szCs w:val="32"/>
          <w:shd w:val="clear" w:color="auto" w:fill="FFFFFF"/>
        </w:rPr>
      </w:pPr>
      <w:r>
        <w:rPr>
          <w:rFonts w:hint="eastAsia" w:ascii="黑体" w:hAnsi="黑体" w:eastAsia="黑体" w:cs="黑体"/>
          <w:b w:val="0"/>
          <w:bCs w:val="0"/>
          <w:i w:val="0"/>
          <w:iCs w:val="0"/>
          <w:caps w:val="0"/>
          <w:color w:val="333333"/>
          <w:spacing w:val="0"/>
          <w:sz w:val="32"/>
          <w:szCs w:val="32"/>
          <w:shd w:val="clear" w:color="auto" w:fill="FFFFFF"/>
        </w:rPr>
        <w:t>五、存在的主要问题及改进情况</w:t>
      </w:r>
    </w:p>
    <w:p w14:paraId="3C5294B5">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spacing w:val="0"/>
          <w:kern w:val="21"/>
          <w:sz w:val="32"/>
          <w:szCs w:val="32"/>
          <w:lang w:val="en-US" w:eastAsia="zh-CN" w:bidi="ar-SA"/>
        </w:rPr>
      </w:pPr>
      <w:r>
        <w:rPr>
          <w:rFonts w:hint="eastAsia" w:ascii="Times New Roman" w:hAnsi="Times New Roman" w:eastAsia="仿宋_GB2312" w:cs="Times New Roman"/>
          <w:color w:val="000000"/>
          <w:spacing w:val="0"/>
          <w:kern w:val="21"/>
          <w:sz w:val="32"/>
          <w:szCs w:val="32"/>
          <w:lang w:val="en-US" w:eastAsia="zh-CN" w:bidi="ar-SA"/>
        </w:rPr>
        <w:t>2025年，县退役军人事务局政务公开工作虽然取得了一定成效，但是还存在主动公开意识不强，</w:t>
      </w:r>
      <w:r>
        <w:rPr>
          <w:rFonts w:hint="default" w:ascii="Times New Roman" w:hAnsi="Times New Roman" w:eastAsia="仿宋_GB2312" w:cs="Times New Roman"/>
          <w:color w:val="000000"/>
          <w:spacing w:val="0"/>
          <w:kern w:val="21"/>
          <w:sz w:val="32"/>
          <w:szCs w:val="32"/>
          <w:lang w:val="en-US" w:eastAsia="zh-CN" w:bidi="ar-SA"/>
        </w:rPr>
        <w:t>公开工作宣传</w:t>
      </w:r>
      <w:r>
        <w:rPr>
          <w:rFonts w:hint="eastAsia" w:ascii="Times New Roman" w:hAnsi="Times New Roman" w:eastAsia="仿宋_GB2312" w:cs="Times New Roman"/>
          <w:color w:val="000000"/>
          <w:spacing w:val="0"/>
          <w:kern w:val="21"/>
          <w:sz w:val="32"/>
          <w:szCs w:val="32"/>
          <w:lang w:val="en-US" w:eastAsia="zh-CN" w:bidi="ar-SA"/>
        </w:rPr>
        <w:t>有待加强，社会知晓度还不够高等问题，与群众的期盼仍有一定差距。下一步，县退役军人事务局</w:t>
      </w:r>
      <w:r>
        <w:rPr>
          <w:rFonts w:hint="default" w:ascii="Times New Roman" w:hAnsi="Times New Roman" w:eastAsia="仿宋_GB2312" w:cs="Times New Roman"/>
          <w:color w:val="000000"/>
          <w:spacing w:val="0"/>
          <w:kern w:val="21"/>
          <w:sz w:val="32"/>
          <w:szCs w:val="32"/>
          <w:lang w:val="en-US" w:eastAsia="zh-CN" w:bidi="ar-SA"/>
        </w:rPr>
        <w:t>将</w:t>
      </w:r>
      <w:r>
        <w:rPr>
          <w:rFonts w:hint="eastAsia" w:ascii="Times New Roman" w:hAnsi="Times New Roman" w:eastAsia="仿宋_GB2312" w:cs="Times New Roman"/>
          <w:color w:val="000000"/>
          <w:spacing w:val="0"/>
          <w:kern w:val="21"/>
          <w:sz w:val="32"/>
          <w:szCs w:val="32"/>
          <w:lang w:val="en-US" w:eastAsia="zh-CN" w:bidi="ar-SA"/>
        </w:rPr>
        <w:t>严格</w:t>
      </w:r>
      <w:r>
        <w:rPr>
          <w:rFonts w:hint="default" w:ascii="Times New Roman" w:hAnsi="Times New Roman" w:eastAsia="仿宋_GB2312" w:cs="Times New Roman"/>
          <w:color w:val="000000"/>
          <w:spacing w:val="0"/>
          <w:kern w:val="21"/>
          <w:sz w:val="32"/>
          <w:szCs w:val="32"/>
          <w:lang w:val="en-US" w:eastAsia="zh-CN" w:bidi="ar-SA"/>
        </w:rPr>
        <w:t>按照</w:t>
      </w:r>
      <w:r>
        <w:rPr>
          <w:rFonts w:hint="eastAsia" w:ascii="Times New Roman" w:hAnsi="Times New Roman" w:eastAsia="仿宋_GB2312" w:cs="Times New Roman"/>
          <w:color w:val="000000"/>
          <w:spacing w:val="0"/>
          <w:kern w:val="21"/>
          <w:sz w:val="32"/>
          <w:szCs w:val="32"/>
          <w:lang w:val="en-US" w:eastAsia="zh-CN" w:bidi="ar-SA"/>
        </w:rPr>
        <w:t>县委、县政府对政务信息公开工作要求，继续对标对表，不断提高工作制度化、规范化、标准化水平。</w:t>
      </w:r>
    </w:p>
    <w:p w14:paraId="07EF48D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黑体" w:hAnsi="黑体" w:eastAsia="黑体" w:cs="黑体"/>
          <w:b w:val="0"/>
          <w:bCs w:val="0"/>
          <w:i w:val="0"/>
          <w:iCs w:val="0"/>
          <w:caps w:val="0"/>
          <w:color w:val="auto"/>
          <w:spacing w:val="0"/>
          <w:sz w:val="32"/>
          <w:szCs w:val="32"/>
          <w:shd w:val="clear" w:color="auto" w:fill="FFFFFF"/>
        </w:rPr>
      </w:pPr>
      <w:r>
        <w:rPr>
          <w:rFonts w:hint="eastAsia" w:ascii="黑体" w:hAnsi="黑体" w:eastAsia="黑体" w:cs="黑体"/>
          <w:b w:val="0"/>
          <w:bCs w:val="0"/>
          <w:i w:val="0"/>
          <w:iCs w:val="0"/>
          <w:caps w:val="0"/>
          <w:color w:val="auto"/>
          <w:spacing w:val="0"/>
          <w:sz w:val="32"/>
          <w:szCs w:val="32"/>
          <w:shd w:val="clear" w:color="auto" w:fill="FFFFFF"/>
        </w:rPr>
        <w:t>六、其他需要报告的事项</w:t>
      </w:r>
    </w:p>
    <w:p w14:paraId="114EE48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Times New Roman" w:hAnsi="Times New Roman" w:eastAsia="仿宋_GB2312" w:cs="Times New Roman"/>
          <w:color w:val="000000"/>
          <w:spacing w:val="0"/>
          <w:kern w:val="21"/>
          <w:sz w:val="32"/>
          <w:szCs w:val="32"/>
          <w:lang w:val="en-US" w:eastAsia="zh-CN" w:bidi="ar-SA"/>
        </w:rPr>
      </w:pPr>
      <w:r>
        <w:rPr>
          <w:rFonts w:hint="eastAsia" w:ascii="Times New Roman" w:hAnsi="Times New Roman" w:eastAsia="仿宋_GB2312" w:cs="Times New Roman"/>
          <w:color w:val="000000"/>
          <w:spacing w:val="0"/>
          <w:kern w:val="21"/>
          <w:sz w:val="32"/>
          <w:szCs w:val="32"/>
          <w:lang w:val="en-US" w:eastAsia="zh-CN" w:bidi="ar-SA"/>
        </w:rPr>
        <w:t>依据国务院办公厅《政府信息公开信息处理费管理办法》（国办函〔2020〕109号），本年度正宁县退役军人事务局未向任何申请主体收取政府信息公开信息处理费。</w:t>
      </w:r>
    </w:p>
    <w:p w14:paraId="409448B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Times New Roman" w:hAnsi="Times New Roman" w:eastAsia="仿宋_GB2312" w:cs="Times New Roman"/>
          <w:color w:val="000000"/>
          <w:spacing w:val="0"/>
          <w:kern w:val="21"/>
          <w:sz w:val="32"/>
          <w:szCs w:val="32"/>
          <w:lang w:val="en-US" w:eastAsia="zh-CN" w:bidi="ar-SA"/>
        </w:rPr>
      </w:pPr>
      <w:r>
        <w:rPr>
          <w:rFonts w:hint="eastAsia" w:ascii="Times New Roman" w:hAnsi="Times New Roman" w:eastAsia="仿宋_GB2312" w:cs="Times New Roman"/>
          <w:color w:val="000000"/>
          <w:spacing w:val="0"/>
          <w:kern w:val="21"/>
          <w:sz w:val="32"/>
          <w:szCs w:val="32"/>
          <w:lang w:val="en-US" w:eastAsia="zh-CN" w:bidi="ar-SA"/>
        </w:rPr>
        <w:t>本报告电子版可在正宁县人民政府门户网站“政府信息公开”专栏“政府信息公开年报”栏目（https://www.zninfo.gov.cn/zwgk/zfxxgknb）查阅下载。如有疑问或意见建议，请与正宁县退役军人事务局办公室联系，联系电话：0934-6121198。</w:t>
      </w:r>
    </w:p>
    <w:sectPr>
      <w:headerReference r:id="rId4" w:type="first"/>
      <w:footerReference r:id="rId6" w:type="first"/>
      <w:headerReference r:id="rId3" w:type="default"/>
      <w:footerReference r:id="rId5"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0000" w:usb1="00000000" w:usb2="00000000" w:usb3="00000000" w:csb0="00000000" w:csb1="0000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宋体_x0004_fal">
    <w:altName w:val="方正书宋_GBK"/>
    <w:panose1 w:val="02010600030101010101"/>
    <w:charset w:val="00"/>
    <w:family w:val="auto"/>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汉仪细圆B5">
    <w:altName w:val="方正书宋_GBK"/>
    <w:panose1 w:val="02010600000101010101"/>
    <w:charset w:val="88"/>
    <w:family w:val="auto"/>
    <w:pitch w:val="default"/>
    <w:sig w:usb0="00000000" w:usb1="00000000" w:usb2="00000002" w:usb3="00000000" w:csb0="0010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6EA9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-247015</wp:posOffset>
              </wp:positionV>
              <wp:extent cx="516890" cy="407670"/>
              <wp:effectExtent l="0" t="0" r="0" b="0"/>
              <wp:wrapNone/>
              <wp:docPr id="1" name="文本框 2"/>
              <wp:cNvGraphicFramePr/>
              <a:graphic xmlns:a="http://schemas.openxmlformats.org/drawingml/2006/main">
                <a:graphicData uri="http://schemas.microsoft.com/office/word/2010/wordprocessingShape">
                  <wps:wsp>
                    <wps:cNvSpPr txBox="1"/>
                    <wps:spPr>
                      <a:xfrm>
                        <a:off x="0" y="0"/>
                        <a:ext cx="516890" cy="407670"/>
                      </a:xfrm>
                      <a:prstGeom prst="rect">
                        <a:avLst/>
                      </a:prstGeom>
                      <a:noFill/>
                      <a:ln w="6350">
                        <a:noFill/>
                      </a:ln>
                    </wps:spPr>
                    <wps:txbx>
                      <w:txbxContent>
                        <w:p w14:paraId="5120099E">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square" lIns="0" tIns="0" rIns="0" bIns="0" upright="0"/>
                  </wps:wsp>
                </a:graphicData>
              </a:graphic>
            </wp:anchor>
          </w:drawing>
        </mc:Choice>
        <mc:Fallback>
          <w:pict>
            <v:shape id="文本框 2" o:spid="_x0000_s1026" o:spt="202" type="#_x0000_t202" style="position:absolute;left:0pt;margin-top:-19.45pt;height:32.1pt;width:40.7pt;mso-position-horizontal:center;mso-position-horizontal-relative:margin;z-index:251659264;mso-width-relative:page;mso-height-relative:page;" filled="f" stroked="f" coordsize="21600,21600" o:gfxdata="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8f6s9YAAAAGAQAADwAAAAAAAAABACAAAAAiAAAAZHJz&#10;L2Rvd25yZXYueG1sUEsBAhQAFAAAAAgAh07iQLiwbXLNAQAAiAMAAA4AAAAAAAAAAQAgAAAAJQEA&#10;AGRycy9lMm9Eb2MueG1sUEsFBgAAAAAGAAYAWQEAAGQFAAAAAA==&#10;">
              <v:fill on="f" focussize="0,0"/>
              <v:stroke on="f" weight="0.5pt"/>
              <v:imagedata o:title=""/>
              <o:lock v:ext="edit" aspectratio="f"/>
              <v:textbox inset="0mm,0mm,0mm,0mm">
                <w:txbxContent>
                  <w:p w14:paraId="5120099E">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992DF">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B1F91">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0449E">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F35F303"/>
    <w:rsid w:val="01141165"/>
    <w:rsid w:val="022950E4"/>
    <w:rsid w:val="030A6CC4"/>
    <w:rsid w:val="034C45ED"/>
    <w:rsid w:val="04E84FD3"/>
    <w:rsid w:val="067D2E31"/>
    <w:rsid w:val="0696763D"/>
    <w:rsid w:val="06DF4610"/>
    <w:rsid w:val="077010BF"/>
    <w:rsid w:val="08797450"/>
    <w:rsid w:val="08B51480"/>
    <w:rsid w:val="08C571E9"/>
    <w:rsid w:val="0995305F"/>
    <w:rsid w:val="0B0D7D4D"/>
    <w:rsid w:val="0B1D155E"/>
    <w:rsid w:val="0B247692"/>
    <w:rsid w:val="0B862853"/>
    <w:rsid w:val="0BBA5F4B"/>
    <w:rsid w:val="0C57284E"/>
    <w:rsid w:val="0C8F1FE8"/>
    <w:rsid w:val="0E770F85"/>
    <w:rsid w:val="0E7A7A6F"/>
    <w:rsid w:val="0F0071CD"/>
    <w:rsid w:val="0F2E7896"/>
    <w:rsid w:val="0F3F7CF5"/>
    <w:rsid w:val="114C3BA0"/>
    <w:rsid w:val="12587290"/>
    <w:rsid w:val="14333BA0"/>
    <w:rsid w:val="14A566F8"/>
    <w:rsid w:val="14E0365D"/>
    <w:rsid w:val="14EB5314"/>
    <w:rsid w:val="15D60C87"/>
    <w:rsid w:val="1683496B"/>
    <w:rsid w:val="18214847"/>
    <w:rsid w:val="195B1BCF"/>
    <w:rsid w:val="19E650C9"/>
    <w:rsid w:val="1A1C2C01"/>
    <w:rsid w:val="1B82239D"/>
    <w:rsid w:val="1CD3695D"/>
    <w:rsid w:val="1D185ADC"/>
    <w:rsid w:val="1D7B3BE8"/>
    <w:rsid w:val="1F7E6617"/>
    <w:rsid w:val="2049788F"/>
    <w:rsid w:val="221B186D"/>
    <w:rsid w:val="2271537A"/>
    <w:rsid w:val="22E5250A"/>
    <w:rsid w:val="22F34C27"/>
    <w:rsid w:val="237C2E6E"/>
    <w:rsid w:val="2488269E"/>
    <w:rsid w:val="257858B7"/>
    <w:rsid w:val="27547C5E"/>
    <w:rsid w:val="286F45CA"/>
    <w:rsid w:val="297445E7"/>
    <w:rsid w:val="2A9731E6"/>
    <w:rsid w:val="2ACB0237"/>
    <w:rsid w:val="2AEA2DB3"/>
    <w:rsid w:val="2B230073"/>
    <w:rsid w:val="2B746B21"/>
    <w:rsid w:val="2C8608B9"/>
    <w:rsid w:val="2D515344"/>
    <w:rsid w:val="2E982B26"/>
    <w:rsid w:val="2F2736CD"/>
    <w:rsid w:val="2F9257C7"/>
    <w:rsid w:val="2FF81ACE"/>
    <w:rsid w:val="309A2B85"/>
    <w:rsid w:val="30B314D2"/>
    <w:rsid w:val="32892EB1"/>
    <w:rsid w:val="329F26D5"/>
    <w:rsid w:val="32DB1233"/>
    <w:rsid w:val="32E26A66"/>
    <w:rsid w:val="33AD7814"/>
    <w:rsid w:val="340F05EB"/>
    <w:rsid w:val="353013EE"/>
    <w:rsid w:val="36631C6B"/>
    <w:rsid w:val="366E2AEA"/>
    <w:rsid w:val="36AF4EB1"/>
    <w:rsid w:val="36D36DF1"/>
    <w:rsid w:val="37C96CC4"/>
    <w:rsid w:val="390D4533"/>
    <w:rsid w:val="3A483652"/>
    <w:rsid w:val="3B9A612F"/>
    <w:rsid w:val="3BED79B4"/>
    <w:rsid w:val="3D251A29"/>
    <w:rsid w:val="3DC54FBA"/>
    <w:rsid w:val="3F1A64DC"/>
    <w:rsid w:val="3F760C61"/>
    <w:rsid w:val="3F84512C"/>
    <w:rsid w:val="40713347"/>
    <w:rsid w:val="4216703F"/>
    <w:rsid w:val="426113AB"/>
    <w:rsid w:val="42D54427"/>
    <w:rsid w:val="430976F7"/>
    <w:rsid w:val="43496D97"/>
    <w:rsid w:val="43761376"/>
    <w:rsid w:val="437F397E"/>
    <w:rsid w:val="450B1E4C"/>
    <w:rsid w:val="453A52AB"/>
    <w:rsid w:val="456F454F"/>
    <w:rsid w:val="464A2500"/>
    <w:rsid w:val="48474F49"/>
    <w:rsid w:val="48B00D40"/>
    <w:rsid w:val="48D02047"/>
    <w:rsid w:val="491D3EFC"/>
    <w:rsid w:val="492A6EF5"/>
    <w:rsid w:val="49301E81"/>
    <w:rsid w:val="4A8C758B"/>
    <w:rsid w:val="4AF869CF"/>
    <w:rsid w:val="4B35552D"/>
    <w:rsid w:val="4B584CCE"/>
    <w:rsid w:val="4D760E26"/>
    <w:rsid w:val="4DE4323A"/>
    <w:rsid w:val="4DF67580"/>
    <w:rsid w:val="4E0E54A6"/>
    <w:rsid w:val="4E5B57DC"/>
    <w:rsid w:val="4E992277"/>
    <w:rsid w:val="4EFE032C"/>
    <w:rsid w:val="4F3124AF"/>
    <w:rsid w:val="4F806F93"/>
    <w:rsid w:val="501778F7"/>
    <w:rsid w:val="507765E7"/>
    <w:rsid w:val="510A120A"/>
    <w:rsid w:val="52B0193D"/>
    <w:rsid w:val="531D5224"/>
    <w:rsid w:val="53211E7C"/>
    <w:rsid w:val="54F41FB5"/>
    <w:rsid w:val="5540344C"/>
    <w:rsid w:val="55774994"/>
    <w:rsid w:val="55942D51"/>
    <w:rsid w:val="55A75556"/>
    <w:rsid w:val="56815ACA"/>
    <w:rsid w:val="569577C7"/>
    <w:rsid w:val="56D46542"/>
    <w:rsid w:val="58154E44"/>
    <w:rsid w:val="59216E1A"/>
    <w:rsid w:val="5A0B6BA5"/>
    <w:rsid w:val="5BCE57BB"/>
    <w:rsid w:val="5BE24306"/>
    <w:rsid w:val="5BEC60DC"/>
    <w:rsid w:val="5C983B6D"/>
    <w:rsid w:val="5D1061EB"/>
    <w:rsid w:val="5D182D61"/>
    <w:rsid w:val="5D2E44D2"/>
    <w:rsid w:val="5D470102"/>
    <w:rsid w:val="5DDC3F2E"/>
    <w:rsid w:val="5E5E5918"/>
    <w:rsid w:val="5F677827"/>
    <w:rsid w:val="5F702B80"/>
    <w:rsid w:val="5FB40CBE"/>
    <w:rsid w:val="5FE84E0C"/>
    <w:rsid w:val="6004682B"/>
    <w:rsid w:val="601E4739"/>
    <w:rsid w:val="6069670F"/>
    <w:rsid w:val="62084104"/>
    <w:rsid w:val="64356146"/>
    <w:rsid w:val="64C8320D"/>
    <w:rsid w:val="64E75692"/>
    <w:rsid w:val="65206DF6"/>
    <w:rsid w:val="65CC4888"/>
    <w:rsid w:val="6612673F"/>
    <w:rsid w:val="6632293D"/>
    <w:rsid w:val="6639534B"/>
    <w:rsid w:val="67AC4971"/>
    <w:rsid w:val="67BF74A6"/>
    <w:rsid w:val="67DA328C"/>
    <w:rsid w:val="68572B2F"/>
    <w:rsid w:val="685F36EF"/>
    <w:rsid w:val="696E0130"/>
    <w:rsid w:val="6A3C7A0F"/>
    <w:rsid w:val="6A843983"/>
    <w:rsid w:val="6AFD63B1"/>
    <w:rsid w:val="6BB32772"/>
    <w:rsid w:val="6CAE6A95"/>
    <w:rsid w:val="6D1D3C35"/>
    <w:rsid w:val="6D855D61"/>
    <w:rsid w:val="6DB5BB06"/>
    <w:rsid w:val="6E0077C5"/>
    <w:rsid w:val="6E063A57"/>
    <w:rsid w:val="6E3022FE"/>
    <w:rsid w:val="6E6C09B6"/>
    <w:rsid w:val="6FEF69FB"/>
    <w:rsid w:val="706E4EB9"/>
    <w:rsid w:val="711A294B"/>
    <w:rsid w:val="711D41EA"/>
    <w:rsid w:val="71ED0060"/>
    <w:rsid w:val="72456CFC"/>
    <w:rsid w:val="727D3192"/>
    <w:rsid w:val="737E18B7"/>
    <w:rsid w:val="74A0585D"/>
    <w:rsid w:val="75100EF0"/>
    <w:rsid w:val="75BB72F8"/>
    <w:rsid w:val="76811693"/>
    <w:rsid w:val="76B4114C"/>
    <w:rsid w:val="777F2055"/>
    <w:rsid w:val="77ED6E0A"/>
    <w:rsid w:val="78056103"/>
    <w:rsid w:val="79295E21"/>
    <w:rsid w:val="7ADE2C3C"/>
    <w:rsid w:val="7B2E5880"/>
    <w:rsid w:val="7BD78FC4"/>
    <w:rsid w:val="7BFEFA79"/>
    <w:rsid w:val="7D076D49"/>
    <w:rsid w:val="7D311748"/>
    <w:rsid w:val="7D645B7C"/>
    <w:rsid w:val="7D7358BD"/>
    <w:rsid w:val="7DE70059"/>
    <w:rsid w:val="7F615514"/>
    <w:rsid w:val="7F654317"/>
    <w:rsid w:val="7F6851CA"/>
    <w:rsid w:val="7FA91A6A"/>
    <w:rsid w:val="AF35F303"/>
    <w:rsid w:val="BEBA9F4A"/>
    <w:rsid w:val="C7BD867F"/>
    <w:rsid w:val="D6FF6D0A"/>
    <w:rsid w:val="D7EECC8A"/>
    <w:rsid w:val="DFDE1D6A"/>
    <w:rsid w:val="E5FF8CD0"/>
    <w:rsid w:val="E97DF10B"/>
    <w:rsid w:val="F5167C54"/>
    <w:rsid w:val="FF7DEE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99"/>
    <w:pPr>
      <w:adjustRightInd w:val="0"/>
      <w:snapToGrid w:val="0"/>
      <w:spacing w:beforeLines="100" w:afterLines="100"/>
      <w:jc w:val="center"/>
    </w:pPr>
    <w:rPr>
      <w:rFonts w:hAnsi="Arial" w:cs="Arial"/>
      <w:b/>
      <w:bCs/>
      <w:sz w:val="48"/>
      <w:szCs w:val="48"/>
    </w:rPr>
  </w:style>
  <w:style w:type="paragraph" w:styleId="3">
    <w:name w:val="Body Text Indent 2"/>
    <w:basedOn w:val="1"/>
    <w:next w:val="1"/>
    <w:qFormat/>
    <w:uiPriority w:val="0"/>
    <w:pPr>
      <w:spacing w:after="120" w:line="480" w:lineRule="auto"/>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index 1"/>
    <w:basedOn w:val="1"/>
    <w:next w:val="1"/>
    <w:qFormat/>
    <w:uiPriority w:val="0"/>
    <w:rPr>
      <w:rFonts w:ascii="Calibri" w:hAnsi="Calibri" w:eastAsia="宋体_x0004_fal"/>
      <w:szCs w:val="20"/>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2379</Words>
  <Characters>2447</Characters>
  <Lines>0</Lines>
  <Paragraphs>0</Paragraphs>
  <TotalTime>2</TotalTime>
  <ScaleCrop>false</ScaleCrop>
  <LinksUpToDate>false</LinksUpToDate>
  <CharactersWithSpaces>2497</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2024-12-01T19:42:00Z</dcterms:created>
  <dc:creator>S.A.Q</dc:creator>
  <cp:lastModifiedBy>风声</cp:lastModifiedBy>
  <cp:lastPrinted>2026-01-09T19:06:00Z</cp:lastPrinted>
  <dcterms:modified xsi:type="dcterms:W3CDTF">2026-01-21T14:44:19Z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1FB1E1BA623B1ECD8BBE4069F31741F0_43</vt:lpwstr>
  </property>
  <property fmtid="{D5CDD505-2E9C-101B-9397-08002B2CF9AE}" pid="4" name="KSOTemplateDocerSaveRecord">
    <vt:lpwstr>eyJoZGlkIjoiNjY3ZjkxMDg0ODAyYjllYTI0YWU5MWQ4NjQ5ZjM2YzMiLCJ1c2VySWQiOiI2MTg5MjE3ODEifQ==</vt:lpwstr>
  </property>
</Properties>
</file>