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824B7">
      <w:pPr>
        <w:pStyle w:val="3"/>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center"/>
        <w:textAlignment w:val="auto"/>
        <w:outlineLvl w:val="9"/>
        <w:rPr>
          <w:rFonts w:hint="eastAsia" w:ascii="汉仪细圆B5" w:hAnsi="汉仪细圆B5" w:eastAsia="方正小标宋简体" w:cs="汉仪细圆B5"/>
          <w:w w:val="95"/>
          <w:sz w:val="44"/>
          <w:szCs w:val="44"/>
          <w:lang w:val="en-US" w:eastAsia="zh-CN"/>
        </w:rPr>
      </w:pPr>
    </w:p>
    <w:p w14:paraId="69CBCA1C">
      <w:pPr>
        <w:pStyle w:val="3"/>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center"/>
        <w:textAlignment w:val="auto"/>
        <w:outlineLvl w:val="9"/>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bookmarkStart w:id="0" w:name="_GoBack"/>
      <w:bookmarkEnd w:id="0"/>
      <w:r>
        <w:rPr>
          <w:rFonts w:hint="eastAsia" w:ascii="汉仪细圆B5" w:hAnsi="汉仪细圆B5" w:eastAsia="方正小标宋简体" w:cs="汉仪细圆B5"/>
          <w:w w:val="95"/>
          <w:sz w:val="44"/>
          <w:szCs w:val="44"/>
          <w:lang w:val="en-US" w:eastAsia="zh-CN"/>
        </w:rPr>
        <w:t>正宁县卫生健康局</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 xml:space="preserve"> </w:t>
      </w:r>
    </w:p>
    <w:p w14:paraId="3BCB1709">
      <w:pPr>
        <w:pStyle w:val="3"/>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center"/>
        <w:textAlignment w:val="auto"/>
        <w:outlineLvl w:val="9"/>
        <w:rPr>
          <w:rFonts w:hint="default" w:ascii="汉仪细圆B5" w:hAnsi="汉仪细圆B5" w:eastAsia="方正小标宋简体" w:cs="汉仪细圆B5"/>
          <w:w w:val="95"/>
          <w:sz w:val="44"/>
          <w:szCs w:val="44"/>
          <w:lang w:val="en-US" w:eastAsia="zh-CN"/>
        </w:rPr>
      </w:pPr>
      <w:r>
        <w:rPr>
          <w:rFonts w:hint="default" w:ascii="Times New Roman" w:hAnsi="Times New Roman" w:eastAsia="方正小标宋简体" w:cs="Times New Roman"/>
          <w:color w:val="000000"/>
          <w:kern w:val="21"/>
          <w:sz w:val="44"/>
          <w:szCs w:val="44"/>
        </w:rPr>
        <w:t>202</w:t>
      </w:r>
      <w:r>
        <w:rPr>
          <w:rFonts w:hint="eastAsia" w:ascii="Times New Roman" w:hAnsi="Times New Roman" w:eastAsia="方正小标宋简体" w:cs="Times New Roman"/>
          <w:color w:val="000000"/>
          <w:kern w:val="21"/>
          <w:sz w:val="44"/>
          <w:szCs w:val="44"/>
          <w:lang w:val="en-US" w:eastAsia="zh-CN"/>
        </w:rPr>
        <w:t>5</w:t>
      </w:r>
      <w:r>
        <w:rPr>
          <w:rFonts w:hint="default" w:ascii="汉仪细圆B5" w:hAnsi="汉仪细圆B5" w:eastAsia="方正小标宋简体" w:cs="汉仪细圆B5"/>
          <w:w w:val="95"/>
          <w:sz w:val="44"/>
          <w:szCs w:val="44"/>
          <w:lang w:val="en-US" w:eastAsia="zh-CN"/>
        </w:rPr>
        <w:t>年政府信息公开工作年度报告</w:t>
      </w:r>
    </w:p>
    <w:p w14:paraId="0CE41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9A9E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一、总体情况</w:t>
      </w:r>
    </w:p>
    <w:p w14:paraId="09B8A90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正宁县卫生健康局坚持以习近平新时代中国特色社会主义思想为指导，全面贯彻党的二十大和二十届历次全会精神，深入落实《条例》各项要求，坚持以人民为中心的发展思想，紧紧围绕卫生健康中心工作，将政府信息公开作为提升治理能力、优化营商环境、保障群众权益的重要举措，推动卫生健康领域政府信息公开工作高质量开展。全年始终坚持“应公开、尽公开、真公开、优公开”原则，不断健全工作机制、优化公开平台、聚焦公开重点、强化监督保障，有效保障了社会公众的知情权、参与权、表达权和监督权，为卫生健康事业高质量发展营造了良好的政务环境。</w:t>
      </w:r>
    </w:p>
    <w:p w14:paraId="5A0F4A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楷体_GB2312" w:hAnsi="楷体_GB2312" w:eastAsia="楷体_GB2312" w:cs="楷体_GB2312"/>
          <w:b/>
          <w:bCs/>
          <w:i w:val="0"/>
          <w:caps w:val="0"/>
          <w:color w:val="333333"/>
          <w:spacing w:val="0"/>
          <w:sz w:val="32"/>
          <w:szCs w:val="32"/>
          <w:shd w:val="clear" w:color="auto" w:fill="FFFFFF"/>
          <w:lang w:eastAsia="zh-CN"/>
        </w:rPr>
        <w:t>（一）</w:t>
      </w:r>
      <w:r>
        <w:rPr>
          <w:rFonts w:hint="eastAsia" w:ascii="楷体_GB2312" w:hAnsi="楷体_GB2312" w:eastAsia="楷体_GB2312" w:cs="楷体_GB2312"/>
          <w:b/>
          <w:bCs/>
          <w:i w:val="0"/>
          <w:caps w:val="0"/>
          <w:color w:val="333333"/>
          <w:spacing w:val="0"/>
          <w:sz w:val="32"/>
          <w:szCs w:val="32"/>
          <w:shd w:val="clear" w:color="auto" w:fill="FFFFFF"/>
        </w:rPr>
        <w:t>主动公开方面</w:t>
      </w:r>
      <w:r>
        <w:rPr>
          <w:rFonts w:hint="eastAsia" w:ascii="楷体_GB2312" w:hAnsi="楷体_GB2312" w:eastAsia="楷体_GB2312" w:cs="楷体_GB2312"/>
          <w:b/>
          <w:bCs/>
          <w:i w:val="0"/>
          <w:caps w:val="0"/>
          <w:color w:val="333333"/>
          <w:spacing w:val="0"/>
          <w:sz w:val="32"/>
          <w:szCs w:val="32"/>
          <w:shd w:val="clear" w:color="auto" w:fill="FFFFFF"/>
          <w:lang w:eastAsia="zh-CN"/>
        </w:rPr>
        <w:t>。</w:t>
      </w:r>
    </w:p>
    <w:p w14:paraId="74D12F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rPr>
      </w:pPr>
      <w:r>
        <w:rPr>
          <w:rFonts w:hint="eastAsia" w:ascii="Times New Roman" w:hAnsi="Times New Roman" w:eastAsia="仿宋_GB2312" w:cs="Times New Roman"/>
          <w:color w:val="auto"/>
          <w:kern w:val="2"/>
          <w:sz w:val="32"/>
          <w:szCs w:val="32"/>
          <w:highlight w:val="none"/>
          <w:lang w:val="en-US" w:eastAsia="zh-CN" w:bidi="ar-SA"/>
        </w:rPr>
        <w:t>聚焦群众关切和卫生健康核心工作，精准划定主动公开范围，全面提升公开质效。</w:t>
      </w:r>
      <w:r>
        <w:rPr>
          <w:rFonts w:hint="eastAsia" w:ascii="Times New Roman" w:hAnsi="Times New Roman" w:eastAsia="仿宋_GB2312" w:cs="Times New Roman"/>
          <w:b/>
          <w:bCs/>
          <w:color w:val="auto"/>
          <w:kern w:val="2"/>
          <w:sz w:val="32"/>
          <w:szCs w:val="32"/>
          <w:highlight w:val="none"/>
          <w:lang w:val="en-US" w:eastAsia="zh-CN" w:bidi="ar-SA"/>
        </w:rPr>
        <w:t>一是</w:t>
      </w:r>
      <w:r>
        <w:rPr>
          <w:rFonts w:hint="eastAsia" w:ascii="Times New Roman" w:hAnsi="Times New Roman" w:eastAsia="仿宋_GB2312" w:cs="Times New Roman"/>
          <w:color w:val="auto"/>
          <w:kern w:val="2"/>
          <w:sz w:val="32"/>
          <w:szCs w:val="32"/>
          <w:highlight w:val="none"/>
          <w:lang w:val="en-US" w:eastAsia="zh-CN" w:bidi="ar-SA"/>
        </w:rPr>
        <w:t>强化重点领域信息公开，围绕深化医疗体制改革、医养结合推进、职业健康保护、公共卫生监管、乡村振兴卫生健康帮扶等重点工作，通过正宁县人民政府门户网站主动公开政府信息16条（其中：履职依据3条、年度预算决算2条、统计信息3条、规划信息3条、政府文件4条、政府信息公开年报1条），通过政务新媒体“健康正宁”公众号发布各类信息116条。</w:t>
      </w:r>
      <w:r>
        <w:rPr>
          <w:rFonts w:hint="eastAsia" w:ascii="Times New Roman" w:hAnsi="Times New Roman" w:eastAsia="仿宋_GB2312" w:cs="Times New Roman"/>
          <w:b/>
          <w:bCs/>
          <w:color w:val="auto"/>
          <w:kern w:val="2"/>
          <w:sz w:val="32"/>
          <w:szCs w:val="32"/>
          <w:highlight w:val="none"/>
          <w:lang w:val="en-US" w:eastAsia="zh-CN" w:bidi="ar-SA"/>
        </w:rPr>
        <w:t>二是</w:t>
      </w:r>
      <w:r>
        <w:rPr>
          <w:rFonts w:hint="eastAsia" w:ascii="Times New Roman" w:hAnsi="Times New Roman" w:eastAsia="仿宋_GB2312" w:cs="Times New Roman"/>
          <w:color w:val="auto"/>
          <w:kern w:val="2"/>
          <w:sz w:val="32"/>
          <w:szCs w:val="32"/>
          <w:highlight w:val="none"/>
          <w:lang w:val="en-US" w:eastAsia="zh-CN" w:bidi="ar-SA"/>
        </w:rPr>
        <w:t>健全权力运行公开机制同时加大轻微违法行为依法不予行政处罚清单公开力度，深入公开行政许可、行政处罚等权力运行结果。</w:t>
      </w:r>
      <w:r>
        <w:rPr>
          <w:rFonts w:hint="eastAsia" w:ascii="Times New Roman" w:hAnsi="Times New Roman" w:eastAsia="仿宋_GB2312" w:cs="Times New Roman"/>
          <w:b/>
          <w:bCs/>
          <w:color w:val="auto"/>
          <w:kern w:val="2"/>
          <w:sz w:val="32"/>
          <w:szCs w:val="32"/>
          <w:highlight w:val="none"/>
          <w:lang w:val="en-US" w:eastAsia="zh-CN" w:bidi="ar-SA"/>
        </w:rPr>
        <w:t>三是</w:t>
      </w:r>
      <w:r>
        <w:rPr>
          <w:rFonts w:hint="eastAsia" w:ascii="Times New Roman" w:hAnsi="Times New Roman" w:eastAsia="仿宋_GB2312" w:cs="Times New Roman"/>
          <w:color w:val="auto"/>
          <w:kern w:val="2"/>
          <w:sz w:val="32"/>
          <w:szCs w:val="32"/>
          <w:highlight w:val="none"/>
          <w:lang w:val="en-US" w:eastAsia="zh-CN" w:bidi="ar-SA"/>
        </w:rPr>
        <w:t>深化“双随机、一公开”监管公开，全年抽查各类被监督单位121家，涵盖公共场所卫生、医疗卫生、传染病防治、放射诊疗、生活饮用水卫生、学校卫生、消毒产品生产企业、妇幼健康、职业卫生等9个专业领域，抽查结果均及时在官方平台公示。四是提升政策解读实效，严格落实政策解读“三同步”要求，及时发布政策解读文件，针对季节好发病防控、医保报销新政、疫苗接种规范等群众关心问题进行权威解读回应。</w:t>
      </w:r>
    </w:p>
    <w:p w14:paraId="5FA8C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楷体_GB2312" w:hAnsi="楷体_GB2312" w:eastAsia="楷体_GB2312" w:cs="楷体_GB2312"/>
          <w:b/>
          <w:bCs/>
          <w:i w:val="0"/>
          <w:caps w:val="0"/>
          <w:color w:val="333333"/>
          <w:spacing w:val="0"/>
          <w:sz w:val="32"/>
          <w:szCs w:val="32"/>
          <w:shd w:val="clear" w:color="auto" w:fill="FFFFFF"/>
          <w:lang w:eastAsia="zh-CN"/>
        </w:rPr>
        <w:t>（二）</w:t>
      </w:r>
      <w:r>
        <w:rPr>
          <w:rFonts w:hint="eastAsia" w:ascii="楷体_GB2312" w:hAnsi="楷体_GB2312" w:eastAsia="楷体_GB2312" w:cs="楷体_GB2312"/>
          <w:b/>
          <w:bCs/>
          <w:i w:val="0"/>
          <w:caps w:val="0"/>
          <w:color w:val="333333"/>
          <w:spacing w:val="0"/>
          <w:sz w:val="32"/>
          <w:szCs w:val="32"/>
          <w:shd w:val="clear" w:color="auto" w:fill="FFFFFF"/>
        </w:rPr>
        <w:t>依申请公开方面</w:t>
      </w:r>
      <w:r>
        <w:rPr>
          <w:rFonts w:hint="eastAsia" w:ascii="楷体_GB2312" w:hAnsi="楷体_GB2312" w:eastAsia="楷体_GB2312" w:cs="楷体_GB2312"/>
          <w:b/>
          <w:bCs/>
          <w:i w:val="0"/>
          <w:caps w:val="0"/>
          <w:color w:val="333333"/>
          <w:spacing w:val="0"/>
          <w:sz w:val="32"/>
          <w:szCs w:val="32"/>
          <w:shd w:val="clear" w:color="auto" w:fill="FFFFFF"/>
          <w:lang w:eastAsia="zh-CN"/>
        </w:rPr>
        <w:t>。</w:t>
      </w:r>
    </w:p>
    <w:p w14:paraId="31876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2025年我局未收到政府信息公开申请。</w:t>
      </w:r>
    </w:p>
    <w:p w14:paraId="19273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楷体_GB2312" w:hAnsi="楷体_GB2312" w:eastAsia="楷体_GB2312" w:cs="楷体_GB2312"/>
          <w:b/>
          <w:bCs/>
          <w:i w:val="0"/>
          <w:caps w:val="0"/>
          <w:color w:val="333333"/>
          <w:spacing w:val="0"/>
          <w:sz w:val="32"/>
          <w:szCs w:val="32"/>
          <w:shd w:val="clear" w:color="auto" w:fill="FFFFFF"/>
          <w:lang w:eastAsia="zh-CN"/>
        </w:rPr>
        <w:t>（三）</w:t>
      </w:r>
      <w:r>
        <w:rPr>
          <w:rFonts w:hint="eastAsia" w:ascii="楷体_GB2312" w:hAnsi="楷体_GB2312" w:eastAsia="楷体_GB2312" w:cs="楷体_GB2312"/>
          <w:b/>
          <w:bCs/>
          <w:i w:val="0"/>
          <w:caps w:val="0"/>
          <w:color w:val="333333"/>
          <w:spacing w:val="0"/>
          <w:sz w:val="32"/>
          <w:szCs w:val="32"/>
          <w:shd w:val="clear" w:color="auto" w:fill="FFFFFF"/>
        </w:rPr>
        <w:t>政府信息管理方面</w:t>
      </w:r>
      <w:r>
        <w:rPr>
          <w:rFonts w:hint="eastAsia" w:ascii="楷体_GB2312" w:hAnsi="楷体_GB2312" w:eastAsia="楷体_GB2312" w:cs="楷体_GB2312"/>
          <w:b/>
          <w:bCs/>
          <w:i w:val="0"/>
          <w:caps w:val="0"/>
          <w:color w:val="333333"/>
          <w:spacing w:val="0"/>
          <w:sz w:val="32"/>
          <w:szCs w:val="32"/>
          <w:shd w:val="clear" w:color="auto" w:fill="FFFFFF"/>
          <w:lang w:eastAsia="zh-CN"/>
        </w:rPr>
        <w:t>。</w:t>
      </w:r>
    </w:p>
    <w:p w14:paraId="6F7DD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Times New Roman" w:hAnsi="Times New Roman" w:eastAsia="仿宋_GB2312" w:cs="Times New Roman"/>
          <w:color w:val="auto"/>
          <w:kern w:val="2"/>
          <w:sz w:val="32"/>
          <w:szCs w:val="32"/>
          <w:highlight w:val="none"/>
          <w:lang w:val="en-US" w:eastAsia="zh-CN" w:bidi="ar-SA"/>
        </w:rPr>
        <w:t>不断推进政务公开标准化规范化建设，健全政府信息公开管理制度体系。</w:t>
      </w:r>
      <w:r>
        <w:rPr>
          <w:rFonts w:hint="eastAsia" w:ascii="Times New Roman" w:hAnsi="Times New Roman" w:eastAsia="仿宋_GB2312" w:cs="Times New Roman"/>
          <w:b/>
          <w:bCs/>
          <w:color w:val="auto"/>
          <w:kern w:val="2"/>
          <w:sz w:val="32"/>
          <w:szCs w:val="32"/>
          <w:highlight w:val="none"/>
          <w:lang w:val="en-US" w:eastAsia="zh-CN" w:bidi="ar-SA"/>
        </w:rPr>
        <w:t>一是</w:t>
      </w:r>
      <w:r>
        <w:rPr>
          <w:rFonts w:hint="eastAsia" w:ascii="Times New Roman" w:hAnsi="Times New Roman" w:eastAsia="仿宋_GB2312" w:cs="Times New Roman"/>
          <w:color w:val="auto"/>
          <w:kern w:val="2"/>
          <w:sz w:val="32"/>
          <w:szCs w:val="32"/>
          <w:highlight w:val="none"/>
          <w:lang w:val="en-US" w:eastAsia="zh-CN" w:bidi="ar-SA"/>
        </w:rPr>
        <w:t>规范信息制作管理，严格执行信息发布“三审”制度，明确各环节责任，确保公开信息真实、准确、完整。</w:t>
      </w:r>
      <w:r>
        <w:rPr>
          <w:rFonts w:hint="eastAsia" w:ascii="Times New Roman" w:hAnsi="Times New Roman" w:eastAsia="仿宋_GB2312" w:cs="Times New Roman"/>
          <w:b/>
          <w:bCs/>
          <w:color w:val="auto"/>
          <w:kern w:val="2"/>
          <w:sz w:val="32"/>
          <w:szCs w:val="32"/>
          <w:highlight w:val="none"/>
          <w:lang w:val="en-US" w:eastAsia="zh-CN" w:bidi="ar-SA"/>
        </w:rPr>
        <w:t>二是</w:t>
      </w:r>
      <w:r>
        <w:rPr>
          <w:rFonts w:hint="eastAsia" w:ascii="Times New Roman" w:hAnsi="Times New Roman" w:eastAsia="仿宋_GB2312" w:cs="Times New Roman"/>
          <w:color w:val="auto"/>
          <w:kern w:val="2"/>
          <w:sz w:val="32"/>
          <w:szCs w:val="32"/>
          <w:highlight w:val="none"/>
          <w:lang w:val="en-US" w:eastAsia="zh-CN" w:bidi="ar-SA"/>
        </w:rPr>
        <w:t>加强信息动态管理，定期对公开信息进行梳理排查，及时清理无效冗余数据及涉及隐私的敏感信息，提升政府信息“含金量”。</w:t>
      </w:r>
      <w:r>
        <w:rPr>
          <w:rFonts w:hint="eastAsia" w:ascii="Times New Roman" w:hAnsi="Times New Roman" w:eastAsia="仿宋_GB2312" w:cs="Times New Roman"/>
          <w:b/>
          <w:bCs/>
          <w:color w:val="auto"/>
          <w:kern w:val="2"/>
          <w:sz w:val="32"/>
          <w:szCs w:val="32"/>
          <w:highlight w:val="none"/>
          <w:lang w:val="en-US" w:eastAsia="zh-CN" w:bidi="ar-SA"/>
        </w:rPr>
        <w:t>三是</w:t>
      </w:r>
      <w:r>
        <w:rPr>
          <w:rFonts w:hint="eastAsia" w:ascii="Times New Roman" w:hAnsi="Times New Roman" w:eastAsia="仿宋_GB2312" w:cs="Times New Roman"/>
          <w:color w:val="auto"/>
          <w:kern w:val="2"/>
          <w:sz w:val="32"/>
          <w:szCs w:val="32"/>
          <w:highlight w:val="none"/>
          <w:lang w:val="en-US" w:eastAsia="zh-CN" w:bidi="ar-SA"/>
        </w:rPr>
        <w:t>完善全流程管理机制，实现重要政策从意见征集、正式发布、政策解读、执行评估到废止失效的全流程闭环管理，提升政策文件管理规范化水平。</w:t>
      </w:r>
      <w:r>
        <w:rPr>
          <w:rFonts w:hint="eastAsia" w:ascii="Times New Roman" w:hAnsi="Times New Roman" w:eastAsia="仿宋_GB2312" w:cs="Times New Roman"/>
          <w:b/>
          <w:bCs/>
          <w:color w:val="auto"/>
          <w:kern w:val="2"/>
          <w:sz w:val="32"/>
          <w:szCs w:val="32"/>
          <w:highlight w:val="none"/>
          <w:lang w:val="en-US" w:eastAsia="zh-CN" w:bidi="ar-SA"/>
        </w:rPr>
        <w:t>四是</w:t>
      </w:r>
      <w:r>
        <w:rPr>
          <w:rFonts w:hint="eastAsia" w:ascii="Times New Roman" w:hAnsi="Times New Roman" w:eastAsia="仿宋_GB2312" w:cs="Times New Roman"/>
          <w:color w:val="auto"/>
          <w:kern w:val="2"/>
          <w:sz w:val="32"/>
          <w:szCs w:val="32"/>
          <w:highlight w:val="none"/>
          <w:lang w:val="en-US" w:eastAsia="zh-CN" w:bidi="ar-SA"/>
        </w:rPr>
        <w:t>强化公众参与，及时公开重大行政决策事项目录，对涉及群众切身利益的重要政策、重大决策事项，通过官方平台、座谈会等方式广泛征求社会公众意见。</w:t>
      </w:r>
    </w:p>
    <w:p w14:paraId="0F08C5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楷体_GB2312" w:hAnsi="楷体_GB2312" w:eastAsia="楷体_GB2312" w:cs="楷体_GB2312"/>
          <w:b/>
          <w:bCs/>
          <w:i w:val="0"/>
          <w:caps w:val="0"/>
          <w:color w:val="333333"/>
          <w:spacing w:val="0"/>
          <w:sz w:val="32"/>
          <w:szCs w:val="32"/>
          <w:shd w:val="clear" w:color="auto" w:fill="FFFFFF"/>
          <w:lang w:eastAsia="zh-CN"/>
        </w:rPr>
        <w:t>（四）</w:t>
      </w:r>
      <w:r>
        <w:rPr>
          <w:rFonts w:hint="eastAsia" w:ascii="楷体_GB2312" w:hAnsi="楷体_GB2312" w:eastAsia="楷体_GB2312" w:cs="楷体_GB2312"/>
          <w:b/>
          <w:bCs/>
          <w:i w:val="0"/>
          <w:caps w:val="0"/>
          <w:color w:val="333333"/>
          <w:spacing w:val="0"/>
          <w:sz w:val="32"/>
          <w:szCs w:val="32"/>
          <w:shd w:val="clear" w:color="auto" w:fill="FFFFFF"/>
        </w:rPr>
        <w:t>平台建设方面</w:t>
      </w:r>
      <w:r>
        <w:rPr>
          <w:rFonts w:hint="eastAsia" w:ascii="楷体_GB2312" w:hAnsi="楷体_GB2312" w:eastAsia="楷体_GB2312" w:cs="楷体_GB2312"/>
          <w:b/>
          <w:bCs/>
          <w:i w:val="0"/>
          <w:caps w:val="0"/>
          <w:color w:val="333333"/>
          <w:spacing w:val="0"/>
          <w:sz w:val="32"/>
          <w:szCs w:val="32"/>
          <w:shd w:val="clear" w:color="auto" w:fill="FFFFFF"/>
          <w:lang w:eastAsia="zh-CN"/>
        </w:rPr>
        <w:t>。</w:t>
      </w:r>
    </w:p>
    <w:p w14:paraId="5266A1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Times New Roman" w:hAnsi="Times New Roman" w:eastAsia="仿宋_GB2312" w:cs="Times New Roman"/>
          <w:color w:val="auto"/>
          <w:kern w:val="2"/>
          <w:sz w:val="32"/>
          <w:szCs w:val="32"/>
          <w:highlight w:val="none"/>
          <w:lang w:val="en-US" w:eastAsia="zh-CN" w:bidi="ar-SA"/>
        </w:rPr>
        <w:t>发挥新媒体传播优势，通过“健康正宁”微信公众号、微博等平台发布卫健要闻、工作动态、健康科普等信息133篇，打造“随时看、随手查”的移动政务公开新体验。夯实线下公开基础，在政务服务大厅卫生健康窗口设置信息公开查阅点，摆放政策手册、公开指南等资料，配备专职人员为群众提供查阅、咨询服务。</w:t>
      </w:r>
    </w:p>
    <w:p w14:paraId="125474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楷体_GB2312" w:hAnsi="楷体_GB2312" w:eastAsia="楷体_GB2312" w:cs="楷体_GB2312"/>
          <w:b/>
          <w:bCs/>
          <w:i w:val="0"/>
          <w:caps w:val="0"/>
          <w:color w:val="333333"/>
          <w:spacing w:val="0"/>
          <w:sz w:val="32"/>
          <w:szCs w:val="32"/>
          <w:shd w:val="clear" w:color="auto" w:fill="FFFFFF"/>
          <w:lang w:eastAsia="zh-CN"/>
        </w:rPr>
      </w:pPr>
      <w:r>
        <w:rPr>
          <w:rFonts w:hint="eastAsia" w:ascii="楷体_GB2312" w:hAnsi="楷体_GB2312" w:eastAsia="楷体_GB2312" w:cs="楷体_GB2312"/>
          <w:b/>
          <w:bCs/>
          <w:i w:val="0"/>
          <w:caps w:val="0"/>
          <w:color w:val="333333"/>
          <w:spacing w:val="0"/>
          <w:sz w:val="32"/>
          <w:szCs w:val="32"/>
          <w:shd w:val="clear" w:color="auto" w:fill="FFFFFF"/>
          <w:lang w:eastAsia="zh-CN"/>
        </w:rPr>
        <w:t>（五）</w:t>
      </w:r>
      <w:r>
        <w:rPr>
          <w:rFonts w:hint="eastAsia" w:ascii="楷体_GB2312" w:hAnsi="楷体_GB2312" w:eastAsia="楷体_GB2312" w:cs="楷体_GB2312"/>
          <w:b/>
          <w:bCs/>
          <w:i w:val="0"/>
          <w:caps w:val="0"/>
          <w:color w:val="333333"/>
          <w:spacing w:val="0"/>
          <w:sz w:val="32"/>
          <w:szCs w:val="32"/>
          <w:shd w:val="clear" w:color="auto" w:fill="FFFFFF"/>
        </w:rPr>
        <w:t>监督保障方面</w:t>
      </w:r>
      <w:r>
        <w:rPr>
          <w:rFonts w:hint="eastAsia" w:ascii="楷体_GB2312" w:hAnsi="楷体_GB2312" w:eastAsia="楷体_GB2312" w:cs="楷体_GB2312"/>
          <w:b/>
          <w:bCs/>
          <w:i w:val="0"/>
          <w:caps w:val="0"/>
          <w:color w:val="333333"/>
          <w:spacing w:val="0"/>
          <w:sz w:val="32"/>
          <w:szCs w:val="32"/>
          <w:shd w:val="clear" w:color="auto" w:fill="FFFFFF"/>
          <w:lang w:eastAsia="zh-CN"/>
        </w:rPr>
        <w:t>。</w:t>
      </w:r>
    </w:p>
    <w:p w14:paraId="68572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楷体_GB2312" w:cs="仿宋_GB2312"/>
          <w:i w:val="0"/>
          <w:iCs w:val="0"/>
          <w:caps w:val="0"/>
          <w:color w:val="333333"/>
          <w:spacing w:val="0"/>
          <w:sz w:val="32"/>
          <w:szCs w:val="32"/>
          <w:shd w:val="clear" w:color="auto" w:fill="FFFFFF"/>
          <w:lang w:eastAsia="zh-CN"/>
        </w:rPr>
      </w:pPr>
      <w:r>
        <w:rPr>
          <w:rFonts w:hint="eastAsia" w:ascii="Times New Roman" w:hAnsi="Times New Roman" w:eastAsia="仿宋_GB2312" w:cs="Times New Roman"/>
          <w:color w:val="auto"/>
          <w:kern w:val="2"/>
          <w:sz w:val="32"/>
          <w:szCs w:val="32"/>
          <w:highlight w:val="none"/>
          <w:lang w:val="en-US" w:eastAsia="zh-CN" w:bidi="ar-SA"/>
        </w:rPr>
        <w:t>健全“管业务就要管公开”的工作机制，将政府信息公开工作纳入年度绩效考核，明确各科室及下属医疗卫生单位公开责任，形成权责清晰、协同高效的工作格局。</w:t>
      </w:r>
      <w:r>
        <w:rPr>
          <w:rFonts w:hint="eastAsia" w:ascii="Times New Roman" w:hAnsi="Times New Roman" w:eastAsia="仿宋_GB2312" w:cs="Times New Roman"/>
          <w:b/>
          <w:bCs/>
          <w:color w:val="auto"/>
          <w:kern w:val="2"/>
          <w:sz w:val="32"/>
          <w:szCs w:val="32"/>
          <w:highlight w:val="none"/>
          <w:lang w:val="en-US" w:eastAsia="zh-CN" w:bidi="ar-SA"/>
        </w:rPr>
        <w:t>一是</w:t>
      </w:r>
      <w:r>
        <w:rPr>
          <w:rFonts w:hint="eastAsia" w:ascii="Times New Roman" w:hAnsi="Times New Roman" w:eastAsia="仿宋_GB2312" w:cs="Times New Roman"/>
          <w:color w:val="auto"/>
          <w:kern w:val="2"/>
          <w:sz w:val="32"/>
          <w:szCs w:val="32"/>
          <w:highlight w:val="none"/>
          <w:lang w:val="en-US" w:eastAsia="zh-CN" w:bidi="ar-SA"/>
        </w:rPr>
        <w:t>强化制度保障，完善政府信息公开保密审查制度，依法依规严格做好保密审查，防范关联汇聚风险，全年未发生信息公开泄密事件。</w:t>
      </w:r>
      <w:r>
        <w:rPr>
          <w:rFonts w:hint="eastAsia" w:ascii="Times New Roman" w:hAnsi="Times New Roman" w:eastAsia="仿宋_GB2312" w:cs="Times New Roman"/>
          <w:b/>
          <w:bCs/>
          <w:color w:val="auto"/>
          <w:kern w:val="2"/>
          <w:sz w:val="32"/>
          <w:szCs w:val="32"/>
          <w:highlight w:val="none"/>
          <w:lang w:val="en-US" w:eastAsia="zh-CN" w:bidi="ar-SA"/>
        </w:rPr>
        <w:t>二是</w:t>
      </w:r>
      <w:r>
        <w:rPr>
          <w:rFonts w:hint="eastAsia" w:ascii="Times New Roman" w:hAnsi="Times New Roman" w:eastAsia="仿宋_GB2312" w:cs="Times New Roman"/>
          <w:color w:val="auto"/>
          <w:kern w:val="2"/>
          <w:sz w:val="32"/>
          <w:szCs w:val="32"/>
          <w:highlight w:val="none"/>
          <w:lang w:val="en-US" w:eastAsia="zh-CN" w:bidi="ar-SA"/>
        </w:rPr>
        <w:t>加强培训指导，组织开展政府信息公开业务培训2次，覆盖机关各科室及下属单位业务骨干40余人，通过案例研讨、实务讲解等方式提升工作人员业务水平。</w:t>
      </w:r>
      <w:r>
        <w:rPr>
          <w:rFonts w:hint="eastAsia" w:ascii="Times New Roman" w:hAnsi="Times New Roman" w:eastAsia="仿宋_GB2312" w:cs="Times New Roman"/>
          <w:b/>
          <w:bCs/>
          <w:color w:val="auto"/>
          <w:kern w:val="2"/>
          <w:sz w:val="32"/>
          <w:szCs w:val="32"/>
          <w:highlight w:val="none"/>
          <w:lang w:val="en-US" w:eastAsia="zh-CN" w:bidi="ar-SA"/>
        </w:rPr>
        <w:t>三是</w:t>
      </w:r>
      <w:r>
        <w:rPr>
          <w:rFonts w:hint="eastAsia" w:ascii="Times New Roman" w:hAnsi="Times New Roman" w:eastAsia="仿宋_GB2312" w:cs="Times New Roman"/>
          <w:color w:val="auto"/>
          <w:kern w:val="2"/>
          <w:sz w:val="32"/>
          <w:szCs w:val="32"/>
          <w:highlight w:val="none"/>
          <w:lang w:val="en-US" w:eastAsia="zh-CN" w:bidi="ar-SA"/>
        </w:rPr>
        <w:t>严格问题整改，对上级部门检查及日常自查发现的问题建立台账，举一反三、限期整改，确保问题整改到位。</w:t>
      </w:r>
      <w:r>
        <w:rPr>
          <w:rFonts w:hint="eastAsia" w:ascii="Times New Roman" w:hAnsi="Times New Roman" w:eastAsia="仿宋_GB2312" w:cs="Times New Roman"/>
          <w:b/>
          <w:bCs/>
          <w:color w:val="auto"/>
          <w:kern w:val="2"/>
          <w:sz w:val="32"/>
          <w:szCs w:val="32"/>
          <w:highlight w:val="none"/>
          <w:lang w:val="en-US" w:eastAsia="zh-CN" w:bidi="ar-SA"/>
        </w:rPr>
        <w:t>四是</w:t>
      </w:r>
      <w:r>
        <w:rPr>
          <w:rFonts w:hint="eastAsia" w:ascii="Times New Roman" w:hAnsi="Times New Roman" w:eastAsia="仿宋_GB2312" w:cs="Times New Roman"/>
          <w:color w:val="auto"/>
          <w:kern w:val="2"/>
          <w:sz w:val="32"/>
          <w:szCs w:val="32"/>
          <w:highlight w:val="none"/>
          <w:lang w:val="en-US" w:eastAsia="zh-CN" w:bidi="ar-SA"/>
        </w:rPr>
        <w:t>畅通监督渠道，公布监督举报电话和邮箱，主动接受社会监督，全年未收到相关监督举报线索。</w:t>
      </w:r>
    </w:p>
    <w:p w14:paraId="6B3F4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1529C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shd w:val="clear" w:color="auto" w:fill="auto"/>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shd w:val="clear" w:color="auto" w:fill="auto"/>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shd w:val="clear" w:color="auto" w:fill="auto"/>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shd w:val="clear" w:color="auto" w:fill="auto"/>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shd w:val="clear" w:color="auto" w:fill="auto"/>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shd w:val="clear" w:color="auto" w:fill="auto"/>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shd w:val="clear" w:color="auto" w:fill="auto"/>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shd w:val="clear" w:color="auto" w:fill="auto"/>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shd w:val="clear" w:color="auto" w:fill="auto"/>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714" w:type="dxa"/>
            <w:shd w:val="clear" w:color="auto" w:fill="auto"/>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shd w:val="clear" w:color="auto" w:fill="auto"/>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shd w:val="clear" w:color="auto" w:fill="auto"/>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shd w:val="clear" w:color="auto" w:fill="auto"/>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shd w:val="clear" w:color="auto" w:fill="auto"/>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shd w:val="clear" w:color="auto" w:fill="auto"/>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shd w:val="clear" w:color="auto" w:fill="auto"/>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shd w:val="clear" w:color="auto" w:fill="auto"/>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shd w:val="clear" w:color="auto" w:fill="auto"/>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shd w:val="clear" w:color="auto" w:fill="auto"/>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shd w:val="clear" w:color="auto" w:fill="auto"/>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04CE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bl>
    <w:p w14:paraId="53098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5A5CC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77C4D1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ascii="仿宋_GB2312" w:hAnsi="宋体" w:eastAsia="仿宋_GB2312" w:cs="仿宋_GB2312"/>
          <w:i w:val="0"/>
          <w:iCs w:val="0"/>
          <w:caps w:val="0"/>
          <w:color w:val="333333"/>
          <w:spacing w:val="0"/>
          <w:sz w:val="31"/>
          <w:szCs w:val="31"/>
          <w:shd w:val="clear" w:fill="FFFFFF"/>
        </w:rPr>
        <w:t>202</w:t>
      </w:r>
      <w:r>
        <w:rPr>
          <w:rFonts w:hint="eastAsia" w:ascii="仿宋_GB2312" w:hAnsi="宋体" w:eastAsia="仿宋_GB2312" w:cs="仿宋_GB2312"/>
          <w:i w:val="0"/>
          <w:iCs w:val="0"/>
          <w:caps w:val="0"/>
          <w:color w:val="333333"/>
          <w:spacing w:val="0"/>
          <w:sz w:val="31"/>
          <w:szCs w:val="31"/>
          <w:shd w:val="clear" w:fill="FFFFFF"/>
          <w:lang w:val="en-US" w:eastAsia="zh-CN"/>
        </w:rPr>
        <w:t>5</w:t>
      </w:r>
      <w:r>
        <w:rPr>
          <w:rFonts w:hint="eastAsia" w:ascii="仿宋_GB2312" w:hAnsi="宋体" w:eastAsia="仿宋_GB2312" w:cs="仿宋_GB2312"/>
          <w:i w:val="0"/>
          <w:iCs w:val="0"/>
          <w:caps w:val="0"/>
          <w:color w:val="333333"/>
          <w:spacing w:val="0"/>
          <w:sz w:val="31"/>
          <w:szCs w:val="31"/>
          <w:shd w:val="clear" w:fill="FFFFFF"/>
        </w:rPr>
        <w:t>年，我局在信息公开方面做了大量工作，取得了一定成效，但仍</w:t>
      </w:r>
      <w:r>
        <w:rPr>
          <w:rFonts w:hint="eastAsia" w:ascii="仿宋_GB2312" w:hAnsi="宋体" w:eastAsia="仿宋_GB2312" w:cs="仿宋_GB2312"/>
          <w:i w:val="0"/>
          <w:iCs w:val="0"/>
          <w:caps w:val="0"/>
          <w:color w:val="333333"/>
          <w:spacing w:val="0"/>
          <w:sz w:val="31"/>
          <w:szCs w:val="31"/>
          <w:shd w:val="clear" w:fill="FFFFFF"/>
          <w:lang w:val="en-US" w:eastAsia="zh-CN"/>
        </w:rPr>
        <w:t>存在</w:t>
      </w:r>
      <w:r>
        <w:rPr>
          <w:rFonts w:hint="eastAsia" w:ascii="仿宋_GB2312" w:hAnsi="仿宋_GB2312" w:eastAsia="仿宋_GB2312" w:cs="仿宋_GB2312"/>
          <w:i w:val="0"/>
          <w:iCs w:val="0"/>
          <w:caps w:val="0"/>
          <w:color w:val="auto"/>
          <w:spacing w:val="0"/>
          <w:sz w:val="32"/>
          <w:szCs w:val="32"/>
          <w:shd w:val="clear" w:color="auto" w:fill="FFFFFF"/>
        </w:rPr>
        <w:t>信息更新不及时</w:t>
      </w:r>
      <w:r>
        <w:rPr>
          <w:rFonts w:hint="eastAsia" w:ascii="仿宋_GB2312" w:hAnsi="宋体" w:eastAsia="仿宋_GB2312" w:cs="仿宋_GB2312"/>
          <w:i w:val="0"/>
          <w:iCs w:val="0"/>
          <w:caps w:val="0"/>
          <w:color w:val="333333"/>
          <w:spacing w:val="0"/>
          <w:sz w:val="31"/>
          <w:szCs w:val="31"/>
          <w:shd w:val="clear" w:fill="FFFFFF"/>
        </w:rPr>
        <w:t>等问题。下一步，我局将努力加以改进和加强。</w:t>
      </w:r>
      <w:r>
        <w:rPr>
          <w:rFonts w:hint="eastAsia" w:ascii="仿宋_GB2312" w:hAnsi="宋体" w:eastAsia="仿宋_GB2312" w:cs="仿宋_GB2312"/>
          <w:b/>
          <w:bCs/>
          <w:i w:val="0"/>
          <w:iCs w:val="0"/>
          <w:caps w:val="0"/>
          <w:color w:val="333333"/>
          <w:spacing w:val="0"/>
          <w:sz w:val="31"/>
          <w:szCs w:val="31"/>
          <w:shd w:val="clear" w:fill="FFFFFF"/>
          <w:lang w:val="en-US" w:eastAsia="zh-CN"/>
        </w:rPr>
        <w:t>一是</w:t>
      </w:r>
      <w:r>
        <w:rPr>
          <w:rFonts w:hint="eastAsia" w:ascii="仿宋_GB2312" w:hAnsi="仿宋_GB2312" w:eastAsia="仿宋_GB2312" w:cs="仿宋_GB2312"/>
          <w:i w:val="0"/>
          <w:iCs w:val="0"/>
          <w:caps w:val="0"/>
          <w:color w:val="auto"/>
          <w:spacing w:val="0"/>
          <w:sz w:val="32"/>
          <w:szCs w:val="32"/>
          <w:shd w:val="clear" w:color="auto" w:fill="FFFFFF"/>
        </w:rPr>
        <w:t>建立信息更新台账，明确各科室责任，确保内容实时准确；</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二是</w:t>
      </w:r>
      <w:r>
        <w:rPr>
          <w:rFonts w:hint="eastAsia" w:ascii="仿宋_GB2312" w:hAnsi="仿宋_GB2312" w:eastAsia="仿宋_GB2312" w:cs="仿宋_GB2312"/>
          <w:i w:val="0"/>
          <w:iCs w:val="0"/>
          <w:caps w:val="0"/>
          <w:color w:val="auto"/>
          <w:spacing w:val="0"/>
          <w:sz w:val="32"/>
          <w:szCs w:val="32"/>
          <w:shd w:val="clear" w:color="auto" w:fill="FFFFFF"/>
        </w:rPr>
        <w:t>畅通互动渠道，实行咨询24小时响应、3个工作日办结机制，提升服务效能。</w:t>
      </w:r>
    </w:p>
    <w:p w14:paraId="430B1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5E4199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依据国务院办公厅《政府信息公开信息处理费管理办法》（国办函〔2020〕109号）</w:t>
      </w:r>
      <w:r>
        <w:rPr>
          <w:rFonts w:hint="default" w:ascii="Times New Roman" w:hAnsi="Times New Roman" w:eastAsia="仿宋_GB2312" w:cs="Times New Roman"/>
          <w:color w:val="auto"/>
          <w:kern w:val="0"/>
          <w:sz w:val="32"/>
          <w:szCs w:val="32"/>
          <w:lang w:val="en-US" w:eastAsia="zh-CN"/>
        </w:rPr>
        <w:t>，本年度</w:t>
      </w:r>
      <w:r>
        <w:rPr>
          <w:rFonts w:hint="eastAsia" w:ascii="Times New Roman" w:hAnsi="Times New Roman" w:eastAsia="仿宋_GB2312" w:cs="Times New Roman"/>
          <w:color w:val="auto"/>
          <w:kern w:val="0"/>
          <w:sz w:val="32"/>
          <w:szCs w:val="32"/>
          <w:lang w:val="en-US" w:eastAsia="zh-CN"/>
        </w:rPr>
        <w:t>正宁县卫生健康局</w:t>
      </w:r>
      <w:r>
        <w:rPr>
          <w:rFonts w:hint="default" w:ascii="Times New Roman" w:hAnsi="Times New Roman" w:eastAsia="仿宋_GB2312" w:cs="Times New Roman"/>
          <w:color w:val="auto"/>
          <w:kern w:val="0"/>
          <w:sz w:val="32"/>
          <w:szCs w:val="32"/>
          <w:lang w:val="en-US" w:eastAsia="zh-CN"/>
        </w:rPr>
        <w:t>未向任何申请主体收取政府信息公开信息处理费。</w:t>
      </w:r>
    </w:p>
    <w:p w14:paraId="3FFE040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本报告电子版可在正宁县人民政府门户网站“政府信息公开”专栏“政府信息公开年报”栏目（https://www.zninfo.gov.cn/zwgk/zfxxgknb）查阅下载。如有疑问或意见建议，请与</w:t>
      </w:r>
      <w:r>
        <w:rPr>
          <w:rFonts w:hint="eastAsia" w:ascii="Times New Roman" w:hAnsi="Times New Roman" w:eastAsia="仿宋_GB2312" w:cs="Times New Roman"/>
          <w:color w:val="auto"/>
          <w:kern w:val="0"/>
          <w:sz w:val="32"/>
          <w:szCs w:val="32"/>
          <w:lang w:val="en-US" w:eastAsia="zh-CN"/>
        </w:rPr>
        <w:t>正宁县卫生健康局</w:t>
      </w:r>
      <w:r>
        <w:rPr>
          <w:rFonts w:hint="default" w:ascii="Times New Roman" w:hAnsi="Times New Roman" w:eastAsia="仿宋_GB2312" w:cs="Times New Roman"/>
          <w:color w:val="auto"/>
          <w:kern w:val="0"/>
          <w:sz w:val="32"/>
          <w:szCs w:val="32"/>
          <w:lang w:val="en-US" w:eastAsia="zh-CN"/>
        </w:rPr>
        <w:t>办公室联系，联系电话：</w:t>
      </w:r>
      <w:r>
        <w:rPr>
          <w:rFonts w:hint="eastAsia" w:ascii="Times New Roman" w:hAnsi="Times New Roman" w:eastAsia="仿宋_GB2312" w:cs="Times New Roman"/>
          <w:color w:val="auto"/>
          <w:kern w:val="0"/>
          <w:sz w:val="32"/>
          <w:szCs w:val="32"/>
          <w:lang w:val="en-US" w:eastAsia="zh-CN"/>
        </w:rPr>
        <w:t>0934-5951880。</w:t>
      </w:r>
    </w:p>
    <w:p w14:paraId="07EF48D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480" w:firstLineChars="200"/>
        <w:jc w:val="both"/>
        <w:textAlignment w:val="auto"/>
        <w:rPr>
          <w:rFonts w:hint="eastAsia"/>
          <w:lang w:val="en-US" w:eastAsia="zh-CN"/>
        </w:rPr>
      </w:pP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0960E41"/>
    <w:rsid w:val="01F66ABD"/>
    <w:rsid w:val="039D18E6"/>
    <w:rsid w:val="07B12DD2"/>
    <w:rsid w:val="0E2F5830"/>
    <w:rsid w:val="0EF05895"/>
    <w:rsid w:val="0F924F9A"/>
    <w:rsid w:val="11EC57E6"/>
    <w:rsid w:val="13603609"/>
    <w:rsid w:val="1AAC6496"/>
    <w:rsid w:val="1BAC1CB6"/>
    <w:rsid w:val="1D7B3BE8"/>
    <w:rsid w:val="20677F94"/>
    <w:rsid w:val="21A10A07"/>
    <w:rsid w:val="22B43430"/>
    <w:rsid w:val="245931AF"/>
    <w:rsid w:val="2835183D"/>
    <w:rsid w:val="32B11DF1"/>
    <w:rsid w:val="38305B3C"/>
    <w:rsid w:val="38D532FB"/>
    <w:rsid w:val="3C445933"/>
    <w:rsid w:val="3C577B7C"/>
    <w:rsid w:val="3D8E5820"/>
    <w:rsid w:val="40493C80"/>
    <w:rsid w:val="423642C4"/>
    <w:rsid w:val="44092C4E"/>
    <w:rsid w:val="45F4468E"/>
    <w:rsid w:val="4F7C5E20"/>
    <w:rsid w:val="5261672F"/>
    <w:rsid w:val="5EEFB522"/>
    <w:rsid w:val="662621EA"/>
    <w:rsid w:val="6AAB3ED7"/>
    <w:rsid w:val="6B003729"/>
    <w:rsid w:val="6DB5BB06"/>
    <w:rsid w:val="6FEF69FB"/>
    <w:rsid w:val="7055609E"/>
    <w:rsid w:val="732A016A"/>
    <w:rsid w:val="748C0004"/>
    <w:rsid w:val="773725DA"/>
    <w:rsid w:val="777F2055"/>
    <w:rsid w:val="77ED6E0A"/>
    <w:rsid w:val="78623FB9"/>
    <w:rsid w:val="7BFEFA79"/>
    <w:rsid w:val="AF35F303"/>
    <w:rsid w:val="BEBA9F4A"/>
    <w:rsid w:val="C7BD867F"/>
    <w:rsid w:val="C7BFBB14"/>
    <w:rsid w:val="D6FF6D0A"/>
    <w:rsid w:val="D7EECC8A"/>
    <w:rsid w:val="DFDE1D6A"/>
    <w:rsid w:val="E5FF8CD0"/>
    <w:rsid w:val="F5167C54"/>
    <w:rsid w:val="FF517B01"/>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105</Words>
  <Characters>117</Characters>
  <Lines>0</Lines>
  <Paragraphs>0</Paragraphs>
  <TotalTime>19</TotalTime>
  <ScaleCrop>false</ScaleCrop>
  <LinksUpToDate>false</LinksUpToDate>
  <CharactersWithSpaces>118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2024-12-02T03:42:00Z</dcterms:created>
  <dc:creator>S.A.Q</dc:creator>
  <cp:lastModifiedBy>风声</cp:lastModifiedBy>
  <cp:lastPrinted>2025-12-17T17:53:00Z</cp:lastPrinted>
  <dcterms:modified xsi:type="dcterms:W3CDTF">2026-01-21T14:44:09Z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852574F9481CCAC2B3F56E693136C41B_43</vt:lpwstr>
  </property>
  <property fmtid="{D5CDD505-2E9C-101B-9397-08002B2CF9AE}" pid="4" name="KSOTemplateDocerSaveRecord">
    <vt:lpwstr>eyJoZGlkIjoiYjg0MmMzMzg2ZjA2NzVkMTY5MTBkMTg5ODkxY2M0ZGYiLCJ1c2VySWQiOiIzOTg2NDcxODUifQ==</vt:lpwstr>
  </property>
</Properties>
</file>