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7C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9CBCA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五顷塬回族乡人民政府</w:t>
      </w:r>
    </w:p>
    <w:p w14:paraId="3BCB1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131CEA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2025年，我乡政府信息公开工作在县政府的统筹指导下，紧密结合乡镇履职实际，聚焦核心任务提质增效。重点推进公开内容规范化、公开形式多样化、公开重点精准化建设，针对性加强乡村振兴等重点领域信息公开与政策解读，用群众听得懂的语言传递政策内涵。通过系列举措，工作主动性、积极性显著提升，信息公开的广度与深度持续拓展，政府工作透明度进一步增强，有效保障了公众信息获取权益，为提升政府公信力、构建服务型政府奠定了坚实基础,全乡政府信息公开工作取得了新成效。</w:t>
      </w:r>
    </w:p>
    <w:p w14:paraId="1EDB792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5E042B8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按照省、市、县关于政府信息公开工作的要求，全面公开政府除涉及国家机密和个人隐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私的事项外的相关信息，做到“应公开、尽公开”。主动公开政务文件及工作动态信息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472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条，其中定期在微信公众号“五顷塬微平台”刊发乡域范围内的工作动态及成效信息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篇，转载中央省、市、县要闻、媒体聚焦等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393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条。在政府网站累计主动公开政府信息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同时，对过时失效及敏感信息进行了及时清理，对部分信息进行了修改完善。</w:t>
      </w:r>
    </w:p>
    <w:p w14:paraId="5E07E1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618B33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全年未接收到受理政府信息公开申请，无不予公开、无法提供、不予处理的情况。</w:t>
      </w:r>
    </w:p>
    <w:p w14:paraId="7EFB340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55540B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1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</w:rPr>
        <w:t>健全管理机制，提升公开质效。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</w:rPr>
        <w:t>建立完善政府信息常态化管理制度，明确专人专岗负责信息发布、网站及政务平台日常运维工作，对政策文件、工作动态、民生服务等内容实施动态更新，确保公开信息的时效性、准确性和实用性。</w:t>
      </w:r>
    </w:p>
    <w:p w14:paraId="495542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1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</w:rPr>
        <w:t>严守保密底线，规范发布流程。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</w:rPr>
        <w:t>严格落实信息发布保密审查制度，始终坚持“涉密信息不上网，上网信息不涉密”的工作原则。针对人员花名册、补贴发放清单等重点公开内容，建立多级审核机制，从严核查个人隐私保护、敏感信息过滤等关键环节，坚决杜绝泄密事件发生，确保政府信息公开工作合法合规、规范有序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0158BD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  <w:t>五顷塬回族乡坚持守正创新，积极丰富政务公开载体形式，构建起线上线下联动、灵活高效的政务公开平台体系。</w:t>
      </w:r>
    </w:p>
    <w:p w14:paraId="6C51547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1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  <w:t>一是做优线上主阵地，实现精准公开。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  <w:t>充分发挥政府门户网站信息公开专栏的核心作用，对政务信息进行集中整合、统一发布，及时推送全乡工作动态、政策文件、民生实事、惠民举措等内容，确保线上公开信息权威、规范、高效。</w:t>
      </w:r>
    </w:p>
    <w:p w14:paraId="1A7C8A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  <w:t>二是织密线下宣传网，推动全面覆盖。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shd w:val="clear" w:fill="FFFFFF"/>
          <w:lang w:val="en-US" w:eastAsia="zh-CN"/>
        </w:rPr>
        <w:t>高效整合新闻媒体、村政务公开栏、乡村大喇叭等线下宣传资源，推动政务信息向村组一线延伸、向各族群众身边贴近，让政务公开内容更接地气、更易获取，切实打通政务信息传递的“最后一公里”。</w:t>
      </w:r>
    </w:p>
    <w:p w14:paraId="4B8EE8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4CCBD2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8"/>
          <w:kern w:val="2"/>
          <w:sz w:val="32"/>
          <w:szCs w:val="32"/>
          <w:shd w:val="clear" w:fill="FFFFFF"/>
          <w:lang w:val="en-US" w:eastAsia="zh-CN" w:bidi="ar-SA"/>
        </w:rPr>
        <w:t>五顷塬回族乡严格落实各项规定，加强对信息公开的监督检查，认真开展自查自纠，确保该项工作有序推进。定期对公开信息工作人员进行业务指导和学习，提高工作业务能力。落实“谁发布，谁负责”的第一责任人制度和“三审三校”审核制度，确保信息公开的工作质量、水平和效果。</w:t>
      </w:r>
    </w:p>
    <w:p w14:paraId="6B3F4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1C88CA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政务公开宣传引导力度不足。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当前政务公开工作的社会知晓度偏低，宣传覆盖面和深度有待拓展，导致群众对政务公开的了解不充分，主动参与政务公开相关工作的积极性不高。</w:t>
      </w:r>
    </w:p>
    <w:p w14:paraId="15260F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主动公开意识仍需强化。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部分工作人员对政务主动公开的重要性认识不够深刻，工作重视程度有待进一步提升，主动公开的主动性、前瞻性不足。</w:t>
      </w:r>
    </w:p>
    <w:p w14:paraId="145FD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下一步，五顷塬回族乡将严格对标《政府信息公开条例》要求，聚焦薄弱环节，精准发力整改，推动政务公开工作提质增效。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一是强化宣传引导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创新宣传形式，拓宽宣传渠道，全方位、多角度普及政务公开相关知识，提升政务公开工作的社会知晓度，充分调动群众参与积极性。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二是深化主动公开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进一步扩大公开范围、细化公开内容，坚持“真公开、常公开、全公开”，让政务公开更具针对性和实效性。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三是加强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队伍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常态化开展政务公开政策法规和业务知识培训，切实提升工作人员的思想认识和业务能力，推动政务公开工作更好地服务各族群众、赋能乡村发展。</w:t>
      </w:r>
    </w:p>
    <w:p w14:paraId="430B1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3BF882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依据国务院办公厅《政府信息公开信息处理费管理办法》（国办函〔2020〕109号），本年度正宁县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五顷塬回族乡人民政府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未向任何申请主体收取政府信息公开信息处理费。</w:t>
      </w:r>
    </w:p>
    <w:p w14:paraId="594A69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本报告电子版可在正宁县人民政府门户网站“政府信息公开”专栏“政府信息公开年报”栏目（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instrText xml:space="preserve"> HYPERLINK "https://www.zninfo.gov.cn/zwgk/zfxxgknb" \t "/home/WTT/Documents\\x/_blank"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https://www.zninfo.gov.cn/zwgk/zfxxgknb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）查阅下载。如有疑问或意见建议，请与正宁县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五顷塬回族乡人民政府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办公室联系，联系电话：0934-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6151130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07EF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5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6890" cy="4076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443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TSPW9MAAAADAQAADwAAAAAAAAABACAAAAAiAAAAZHJzL2Rv&#10;d25yZXYueG1sUEsBAhQAFAAAAAgAh07iQK8Rm1LNAQAAiAMAAA4AAAAAAAAAAQAgAAAAIg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8443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FBD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BAD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BAD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0300D6E"/>
    <w:rsid w:val="057C377D"/>
    <w:rsid w:val="099B720B"/>
    <w:rsid w:val="0BE15F86"/>
    <w:rsid w:val="0D201D17"/>
    <w:rsid w:val="0E8936E9"/>
    <w:rsid w:val="0EEC600E"/>
    <w:rsid w:val="0F5A68DD"/>
    <w:rsid w:val="174A1E4B"/>
    <w:rsid w:val="1D7B3BE8"/>
    <w:rsid w:val="20DF2CB7"/>
    <w:rsid w:val="24155071"/>
    <w:rsid w:val="28A37400"/>
    <w:rsid w:val="2F50024D"/>
    <w:rsid w:val="31216E03"/>
    <w:rsid w:val="36222E33"/>
    <w:rsid w:val="459650CE"/>
    <w:rsid w:val="53F96300"/>
    <w:rsid w:val="5474189A"/>
    <w:rsid w:val="58D85002"/>
    <w:rsid w:val="5F6F616F"/>
    <w:rsid w:val="65284F6D"/>
    <w:rsid w:val="65F9A9B7"/>
    <w:rsid w:val="68A8338A"/>
    <w:rsid w:val="6B911929"/>
    <w:rsid w:val="6DB5BB06"/>
    <w:rsid w:val="6F37310B"/>
    <w:rsid w:val="6FEF69FB"/>
    <w:rsid w:val="727073F5"/>
    <w:rsid w:val="72B24199"/>
    <w:rsid w:val="7325566E"/>
    <w:rsid w:val="777F2055"/>
    <w:rsid w:val="77ED6E0A"/>
    <w:rsid w:val="798B2E9C"/>
    <w:rsid w:val="7BFEFA79"/>
    <w:rsid w:val="7CED46B5"/>
    <w:rsid w:val="7F1A0FA4"/>
    <w:rsid w:val="AF35F303"/>
    <w:rsid w:val="BEBA9F4A"/>
    <w:rsid w:val="C7BD867F"/>
    <w:rsid w:val="D6FF6D0A"/>
    <w:rsid w:val="D7EECC8A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2849</Words>
  <Characters>2910</Characters>
  <Lines>0</Lines>
  <Paragraphs>0</Paragraphs>
  <TotalTime>2</TotalTime>
  <ScaleCrop>false</ScaleCrop>
  <LinksUpToDate>false</LinksUpToDate>
  <CharactersWithSpaces>2916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2026-01-07T00:21:00Z</cp:lastPrinted>
  <dcterms:modified xsi:type="dcterms:W3CDTF">2026-01-21T14:43:49Z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eyJoZGlkIjoiZTNkM2ZlNTdhNmFkMDQ4Y2QzYzdlOTVlZjIwYzIzMTUiLCJ1c2VySWQiOiI0MzkxNDcyNTMifQ==</vt:lpwstr>
  </property>
</Properties>
</file>