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537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color="auto" w:fill="FFFFFF"/>
          <w:lang w:val="en-US" w:eastAsia="zh-CN"/>
        </w:rPr>
      </w:pPr>
    </w:p>
    <w:p w14:paraId="69CBCA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color="auto" w:fill="FFFFFF"/>
          <w:lang w:val="en-US" w:eastAsia="zh-CN"/>
        </w:rPr>
      </w:pPr>
      <w:bookmarkStart w:id="0" w:name="_GoBack"/>
      <w:bookmarkEnd w:id="0"/>
      <w:r>
        <w:rPr>
          <w:rFonts w:hint="default" w:ascii="Times New Roman" w:hAnsi="Times New Roman" w:eastAsia="方正小标宋简体" w:cs="Times New Roman"/>
          <w:b w:val="0"/>
          <w:bCs w:val="0"/>
          <w:i w:val="0"/>
          <w:iCs w:val="0"/>
          <w:caps w:val="0"/>
          <w:color w:val="333333"/>
          <w:spacing w:val="0"/>
          <w:sz w:val="44"/>
          <w:szCs w:val="44"/>
          <w:shd w:val="clear" w:color="auto" w:fill="FFFFFF"/>
          <w:lang w:val="en-US" w:eastAsia="zh-CN"/>
        </w:rPr>
        <w:t xml:space="preserve">正宁县文体广电和旅游局 </w:t>
      </w:r>
    </w:p>
    <w:p w14:paraId="3BCB17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color="auto" w:fill="FFFFFF"/>
        </w:rPr>
      </w:pPr>
      <w:r>
        <w:rPr>
          <w:rFonts w:hint="default" w:ascii="Times New Roman" w:hAnsi="Times New Roman" w:eastAsia="方正小标宋简体" w:cs="Times New Roman"/>
          <w:b w:val="0"/>
          <w:bCs w:val="0"/>
          <w:i w:val="0"/>
          <w:iCs w:val="0"/>
          <w:caps w:val="0"/>
          <w:color w:val="333333"/>
          <w:spacing w:val="0"/>
          <w:sz w:val="44"/>
          <w:szCs w:val="44"/>
          <w:shd w:val="clear" w:color="auto" w:fill="FFFFFF"/>
        </w:rPr>
        <w:t>202</w:t>
      </w:r>
      <w:r>
        <w:rPr>
          <w:rFonts w:hint="default" w:ascii="Times New Roman" w:hAnsi="Times New Roman" w:eastAsia="方正小标宋简体" w:cs="Times New Roman"/>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Times New Roman"/>
          <w:b w:val="0"/>
          <w:bCs w:val="0"/>
          <w:i w:val="0"/>
          <w:iCs w:val="0"/>
          <w:caps w:val="0"/>
          <w:color w:val="333333"/>
          <w:spacing w:val="0"/>
          <w:sz w:val="44"/>
          <w:szCs w:val="44"/>
          <w:shd w:val="clear" w:color="auto" w:fill="FFFFFF"/>
        </w:rPr>
        <w:t>年政府信息公开工作年度报告</w:t>
      </w:r>
    </w:p>
    <w:p w14:paraId="0CE411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shd w:val="clear" w:color="auto" w:fill="FFFFFF"/>
        </w:rPr>
      </w:pPr>
    </w:p>
    <w:p w14:paraId="79A9E5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2025年1月1日至12月31日。</w:t>
      </w:r>
    </w:p>
    <w:p w14:paraId="68EB7C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一、总体情况</w:t>
      </w:r>
    </w:p>
    <w:p w14:paraId="28EEF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正宁县文体广电和旅游局认真贯彻落实《政府信息公开条例》及县委、县政府办公室信息公开工作要求，立足文体广电旅游部门管理职能和工作实际，坚持以习近平新时代中国特色社会主义思想为指导，深入学习贯彻习近平文化思想，全面贯彻落实党的二十大和二十届三中</w:t>
      </w:r>
      <w:r>
        <w:rPr>
          <w:rFonts w:hint="eastAsia" w:ascii="Times New Roman" w:hAnsi="Times New Roman" w:eastAsia="仿宋_GB2312" w:cs="Times New Roman"/>
          <w:color w:val="auto"/>
          <w:kern w:val="2"/>
          <w:sz w:val="32"/>
          <w:szCs w:val="32"/>
          <w:highlight w:val="none"/>
          <w:lang w:val="en-US" w:eastAsia="zh-CN" w:bidi="ar-SA"/>
        </w:rPr>
        <w:t>、四中</w:t>
      </w:r>
      <w:r>
        <w:rPr>
          <w:rFonts w:hint="default" w:ascii="Times New Roman" w:hAnsi="Times New Roman" w:eastAsia="仿宋_GB2312" w:cs="Times New Roman"/>
          <w:color w:val="auto"/>
          <w:kern w:val="2"/>
          <w:sz w:val="32"/>
          <w:szCs w:val="32"/>
          <w:highlight w:val="none"/>
          <w:lang w:val="en-US" w:eastAsia="zh-CN" w:bidi="ar-SA"/>
        </w:rPr>
        <w:t>全会精神，严格按照《条例》各项规定，把政府信息公开工作作为保障公民权益、推进依法行政、强化权力监督、服务转型发展的重要举措，进一步强化各方面工作，确保了政府信息公开工作依法、及时、准确、有序开展。</w:t>
      </w:r>
    </w:p>
    <w:p w14:paraId="7271C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（一）主动公开方面</w:t>
      </w:r>
    </w:p>
    <w:p w14:paraId="15E60D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我局通过政府门户网站主动公开政府信息45条，其中包括：政府文件8条，政府信息公开制度2条，规划信息3条，统计信息5条，预算决算7条，行政处罚1条，政府采购3条，重大民生6条，人事信息5条；通过新媒体平台微信公众号发布469条、抖音号发布150条、图文消息310条，视频号发布短视频157条。</w:t>
      </w:r>
    </w:p>
    <w:p w14:paraId="5E07E1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（二）依申请公开方面</w:t>
      </w:r>
    </w:p>
    <w:p w14:paraId="4D322F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2025年我局未收到政府信息公开申请。</w:t>
      </w:r>
    </w:p>
    <w:p w14:paraId="7EFB34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（三）政府信息管理方面</w:t>
      </w:r>
    </w:p>
    <w:p w14:paraId="275233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认真对照《条例》规定，确保《条例》规定的主动公开责任在文体广电旅游系统落地落实。</w:t>
      </w:r>
      <w:r>
        <w:rPr>
          <w:rFonts w:hint="default" w:ascii="Times New Roman" w:hAnsi="Times New Roman" w:eastAsia="仿宋_GB2312" w:cs="Times New Roman"/>
          <w:b/>
          <w:bCs/>
          <w:color w:val="auto"/>
          <w:kern w:val="2"/>
          <w:sz w:val="32"/>
          <w:szCs w:val="32"/>
          <w:highlight w:val="none"/>
          <w:lang w:val="en-US" w:eastAsia="zh-CN" w:bidi="ar-SA"/>
        </w:rPr>
        <w:t>一是加强队伍保障</w:t>
      </w:r>
      <w:r>
        <w:rPr>
          <w:rFonts w:hint="default" w:ascii="Times New Roman" w:hAnsi="Times New Roman" w:eastAsia="仿宋_GB2312" w:cs="Times New Roman"/>
          <w:color w:val="auto"/>
          <w:kern w:val="2"/>
          <w:sz w:val="32"/>
          <w:szCs w:val="32"/>
          <w:highlight w:val="none"/>
          <w:lang w:val="en-US" w:eastAsia="zh-CN" w:bidi="ar-SA"/>
        </w:rPr>
        <w:t>。2025年我局按照领导职责分工，由党政综合办公室牵头，各股室协调配合，选配2名工作人员负责政府信息公开材料的收集、审核、发布，规范政府信息公开目录清单，保证政务信息公开工作的日常化、制度化、规范化，确保信息内容更加全面、准确、及时。</w:t>
      </w:r>
      <w:r>
        <w:rPr>
          <w:rFonts w:hint="default" w:ascii="Times New Roman" w:hAnsi="Times New Roman" w:eastAsia="仿宋_GB2312" w:cs="Times New Roman"/>
          <w:b/>
          <w:bCs/>
          <w:color w:val="auto"/>
          <w:kern w:val="2"/>
          <w:sz w:val="32"/>
          <w:szCs w:val="32"/>
          <w:highlight w:val="none"/>
          <w:lang w:val="en-US" w:eastAsia="zh-CN" w:bidi="ar-SA"/>
        </w:rPr>
        <w:t>二是严格制度落实。</w:t>
      </w:r>
      <w:r>
        <w:rPr>
          <w:rFonts w:hint="default" w:ascii="Times New Roman" w:hAnsi="Times New Roman" w:eastAsia="仿宋_GB2312" w:cs="Times New Roman"/>
          <w:color w:val="auto"/>
          <w:kern w:val="2"/>
          <w:sz w:val="32"/>
          <w:szCs w:val="32"/>
          <w:highlight w:val="none"/>
          <w:lang w:val="en-US" w:eastAsia="zh-CN" w:bidi="ar-SA"/>
        </w:rPr>
        <w:t>完善政府信息公开工作制度体系，编制《正宁县文体广电和旅游局信息公开指南》，严格执行《正宁县文体广电和旅游局信息平台管理办法》《关于落实文旅局信息公开保密审查制度的通知》，坚持发布的信息应当遵循“谁发布、谁负责”、“先审核后发布”、“一事一审”及“上网不涉密、涉密不上网”原则，对信息公开的范围、内容、形式、制度进一步明确，做到依法保密、依法公开。目前，我局政府信息公开工作运行顺畅，信息公开咨询以及申请等工作开展顺利。</w:t>
      </w:r>
      <w:r>
        <w:rPr>
          <w:rFonts w:hint="default" w:ascii="Times New Roman" w:hAnsi="Times New Roman" w:eastAsia="仿宋_GB2312" w:cs="Times New Roman"/>
          <w:b/>
          <w:bCs/>
          <w:color w:val="auto"/>
          <w:kern w:val="2"/>
          <w:sz w:val="32"/>
          <w:szCs w:val="32"/>
          <w:highlight w:val="none"/>
          <w:lang w:val="en-US" w:eastAsia="zh-CN" w:bidi="ar-SA"/>
        </w:rPr>
        <w:t>三是发挥平台效应。</w:t>
      </w:r>
      <w:r>
        <w:rPr>
          <w:rFonts w:hint="default" w:ascii="Times New Roman" w:hAnsi="Times New Roman" w:eastAsia="仿宋_GB2312" w:cs="Times New Roman"/>
          <w:color w:val="auto"/>
          <w:kern w:val="2"/>
          <w:sz w:val="32"/>
          <w:szCs w:val="32"/>
          <w:highlight w:val="none"/>
          <w:lang w:val="en-US" w:eastAsia="zh-CN" w:bidi="ar-SA"/>
        </w:rPr>
        <w:t>充分发挥政务新媒体传播速度快、受众面广等优势，通过官方微信公众号、视频号等新媒体对重要新闻、信息第一时间推送。</w:t>
      </w:r>
    </w:p>
    <w:p w14:paraId="4034EE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（四）平台建设方面</w:t>
      </w:r>
    </w:p>
    <w:p w14:paraId="363723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b/>
          <w:bCs/>
          <w:color w:val="auto"/>
          <w:kern w:val="2"/>
          <w:sz w:val="32"/>
          <w:szCs w:val="32"/>
          <w:highlight w:val="none"/>
          <w:lang w:val="en-US" w:eastAsia="zh-CN" w:bidi="ar-SA"/>
        </w:rPr>
        <w:t>政府门户网站</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充实网站建设队伍和技术力量，加强运行管理，规范局门户网站政府信息公开专栏，统一设置并命名为“政府信息公开”，在网站首页位置展示，及时调整和落实法定主动公开内容和要求。专栏涵盖政府信息公开指南、政府信息公开制度、法定主动公开内容、部门文件、政府信息公开年报和依申请公开六部分。做好依申请公开接收、登记、办理、调查、答复等各个环节工作。对照信息公开目录，进一步优化信息发布流程，完善信息公开手段，提升信息公开质量。将官方网站作为我局政府信息公开的第一平台，完善了门户网站政府信息公开专栏的功能，及时公开有关政府信息。</w:t>
      </w:r>
      <w:r>
        <w:rPr>
          <w:rFonts w:hint="eastAsia"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b/>
          <w:bCs/>
          <w:color w:val="auto"/>
          <w:kern w:val="2"/>
          <w:sz w:val="32"/>
          <w:szCs w:val="32"/>
          <w:highlight w:val="none"/>
          <w:lang w:val="en-US" w:eastAsia="zh-CN" w:bidi="ar-SA"/>
        </w:rPr>
        <w:t>微信公众号</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加强“正宁县文体广电旅游局”微信公众号运营管理，及时发布文件精神，发布各二级部门、各股室工作动态和工作成效。</w:t>
      </w:r>
      <w:r>
        <w:rPr>
          <w:rFonts w:hint="eastAsia"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b/>
          <w:bCs/>
          <w:color w:val="auto"/>
          <w:kern w:val="2"/>
          <w:sz w:val="32"/>
          <w:szCs w:val="32"/>
          <w:highlight w:val="none"/>
          <w:lang w:val="en-US" w:eastAsia="zh-CN" w:bidi="ar-SA"/>
        </w:rPr>
        <w:t>视频号</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定期在视频号发布文旅系统宣传短视频，三清故里·福康正宁树立正宁文旅品牌。</w:t>
      </w:r>
      <w:r>
        <w:rPr>
          <w:rFonts w:hint="eastAsia"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b/>
          <w:bCs/>
          <w:color w:val="auto"/>
          <w:kern w:val="2"/>
          <w:sz w:val="32"/>
          <w:szCs w:val="32"/>
          <w:highlight w:val="none"/>
          <w:lang w:val="en-US" w:eastAsia="zh-CN" w:bidi="ar-SA"/>
        </w:rPr>
        <w:t>抖音号</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定期在视频号发布文旅系统宣传短视频，三清故里·福康正宁树立正宁文旅品牌。</w:t>
      </w:r>
    </w:p>
    <w:p w14:paraId="4B8EE8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（五）监督保障方面</w:t>
      </w:r>
    </w:p>
    <w:p w14:paraId="6C3AEF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一是强化工作指导监督。</w:t>
      </w:r>
      <w:r>
        <w:rPr>
          <w:rFonts w:hint="default" w:ascii="Times New Roman" w:hAnsi="Times New Roman" w:eastAsia="仿宋_GB2312" w:cs="Times New Roman"/>
          <w:color w:val="auto"/>
          <w:kern w:val="2"/>
          <w:sz w:val="32"/>
          <w:szCs w:val="32"/>
          <w:highlight w:val="none"/>
          <w:lang w:val="en-US" w:eastAsia="zh-CN" w:bidi="ar-SA"/>
        </w:rPr>
        <w:t>严格落实信息发布三审制度、政策解读和政务舆情回应主体责任，分管领导负责分管领域信息公开审核，加强政务舆情监测和风险研判，协调解决政务公开工作中所涉及的重要问题。</w:t>
      </w:r>
      <w:r>
        <w:rPr>
          <w:rFonts w:hint="eastAsia" w:ascii="楷体_GB2312" w:hAnsi="楷体_GB2312" w:eastAsia="楷体_GB2312" w:cs="楷体_GB2312"/>
          <w:b/>
          <w:bCs/>
          <w:color w:val="auto"/>
          <w:kern w:val="2"/>
          <w:sz w:val="32"/>
          <w:szCs w:val="32"/>
          <w:highlight w:val="none"/>
          <w:lang w:val="en-US" w:eastAsia="zh-CN" w:bidi="ar-SA"/>
        </w:rPr>
        <w:t>二是发挥督促监督职能。</w:t>
      </w:r>
      <w:r>
        <w:rPr>
          <w:rFonts w:hint="default" w:ascii="Times New Roman" w:hAnsi="Times New Roman" w:eastAsia="仿宋_GB2312" w:cs="Times New Roman"/>
          <w:color w:val="auto"/>
          <w:kern w:val="2"/>
          <w:sz w:val="32"/>
          <w:szCs w:val="32"/>
          <w:highlight w:val="none"/>
          <w:lang w:val="en-US" w:eastAsia="zh-CN" w:bidi="ar-SA"/>
        </w:rPr>
        <w:t>不定期对发布内容进行督促检查，及时指出并协调解决政务公开过程中存在的问题，确保信息公开方向不出问题。</w:t>
      </w:r>
      <w:r>
        <w:rPr>
          <w:rFonts w:hint="eastAsia" w:ascii="楷体_GB2312" w:hAnsi="楷体_GB2312" w:eastAsia="楷体_GB2312" w:cs="楷体_GB2312"/>
          <w:b/>
          <w:bCs/>
          <w:color w:val="auto"/>
          <w:kern w:val="2"/>
          <w:sz w:val="32"/>
          <w:szCs w:val="32"/>
          <w:highlight w:val="none"/>
          <w:lang w:val="en-US" w:eastAsia="zh-CN" w:bidi="ar-SA"/>
        </w:rPr>
        <w:t>三是引入社会监督力量。</w:t>
      </w:r>
      <w:r>
        <w:rPr>
          <w:rFonts w:hint="default" w:ascii="Times New Roman" w:hAnsi="Times New Roman" w:eastAsia="仿宋_GB2312" w:cs="Times New Roman"/>
          <w:color w:val="auto"/>
          <w:kern w:val="2"/>
          <w:sz w:val="32"/>
          <w:szCs w:val="32"/>
          <w:highlight w:val="none"/>
          <w:lang w:val="en-US" w:eastAsia="zh-CN" w:bidi="ar-SA"/>
        </w:rPr>
        <w:t>通过设立举报电话、政务公开互动等方式鼓励广大群众积极参与政务公开监督工作，认真听取群众意见，真心解答群众疑惑，保障群众监督权。</w:t>
      </w:r>
    </w:p>
    <w:p w14:paraId="6B3F4B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宋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color="auto" w:fill="FFFFFF"/>
        </w:rPr>
        <w:t>二、主动公开政府信息情况</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黑体" w:cs="Times New Roman"/>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本年</w:t>
            </w:r>
            <w:r>
              <w:rPr>
                <w:rFonts w:hint="default" w:ascii="Times New Roman" w:hAnsi="Times New Roman" w:eastAsia="宋体" w:cs="Times New Roman"/>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现行有效件</w:t>
            </w:r>
            <w:r>
              <w:rPr>
                <w:rFonts w:hint="default" w:ascii="Times New Roman" w:hAnsi="Times New Roman" w:eastAsia="宋体" w:cs="Times New Roman"/>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黑体" w:cs="Times New Roman"/>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黑体" w:cs="Times New Roman"/>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2</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黑体" w:cs="Times New Roman"/>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0</w:t>
            </w:r>
          </w:p>
        </w:tc>
      </w:tr>
    </w:tbl>
    <w:p w14:paraId="6485AD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1529C8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8"/>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ascii="Times New Roman" w:hAnsi="Times New Roman" w:cs="Times New Roman"/>
                <w:sz w:val="20"/>
                <w:szCs w:val="20"/>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kinsoku/>
              <w:wordWrap/>
              <w:overflowPunct/>
              <w:topLinePunct w:val="0"/>
              <w:autoSpaceDE/>
              <w:autoSpaceDN/>
              <w:bidi w:val="0"/>
              <w:adjustRightInd/>
              <w:snapToGrid w:val="0"/>
              <w:spacing w:line="280" w:lineRule="exact"/>
              <w:jc w:val="left"/>
              <w:textAlignment w:val="auto"/>
              <w:rPr>
                <w:rFonts w:hint="default" w:ascii="Times New Roman" w:hAnsi="Times New Roman" w:cs="Times New Roman"/>
                <w:sz w:val="20"/>
                <w:szCs w:val="20"/>
              </w:rPr>
            </w:pPr>
          </w:p>
        </w:tc>
        <w:tc>
          <w:tcPr>
            <w:tcW w:w="714" w:type="dxa"/>
            <w:vMerge w:val="continue"/>
            <w:noWrap w:val="0"/>
            <w:tcMar>
              <w:left w:w="57" w:type="dxa"/>
              <w:right w:w="57" w:type="dxa"/>
            </w:tcMar>
            <w:vAlign w:val="center"/>
          </w:tcPr>
          <w:p w14:paraId="3AAB5A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sz w:val="20"/>
                <w:szCs w:val="20"/>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cs="Times New Roman"/>
                <w:sz w:val="20"/>
                <w:szCs w:val="20"/>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1.属于国家秘密</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1C566AB8">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2.其他法律行政法规禁止公开</w:t>
            </w:r>
          </w:p>
        </w:tc>
        <w:tc>
          <w:tcPr>
            <w:tcW w:w="714" w:type="dxa"/>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28A0479E">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3.危及“三安全一稳定”</w:t>
            </w:r>
          </w:p>
        </w:tc>
        <w:tc>
          <w:tcPr>
            <w:tcW w:w="714" w:type="dxa"/>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0CAFD9B5">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4.保护第三方合法权益</w:t>
            </w:r>
          </w:p>
        </w:tc>
        <w:tc>
          <w:tcPr>
            <w:tcW w:w="714" w:type="dxa"/>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2D0DDB66">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5.属于三类内部事务信息</w:t>
            </w:r>
          </w:p>
        </w:tc>
        <w:tc>
          <w:tcPr>
            <w:tcW w:w="714" w:type="dxa"/>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3941B20F">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6.属于四类过程性信息</w:t>
            </w:r>
          </w:p>
        </w:tc>
        <w:tc>
          <w:tcPr>
            <w:tcW w:w="714" w:type="dxa"/>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5AE9BF57">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7.属于行政执法案卷</w:t>
            </w:r>
          </w:p>
        </w:tc>
        <w:tc>
          <w:tcPr>
            <w:tcW w:w="714" w:type="dxa"/>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322E9723">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8.属于行政查询事项</w:t>
            </w:r>
          </w:p>
        </w:tc>
        <w:tc>
          <w:tcPr>
            <w:tcW w:w="714" w:type="dxa"/>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1.本机关不掌握相关政府信息</w:t>
            </w:r>
          </w:p>
        </w:tc>
        <w:tc>
          <w:tcPr>
            <w:tcW w:w="714" w:type="dxa"/>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614E35B1">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2.没有现成信息需要另行制作</w:t>
            </w:r>
          </w:p>
        </w:tc>
        <w:tc>
          <w:tcPr>
            <w:tcW w:w="714" w:type="dxa"/>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29E4E786">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3.补正后申请内容仍不明确</w:t>
            </w:r>
          </w:p>
        </w:tc>
        <w:tc>
          <w:tcPr>
            <w:tcW w:w="714" w:type="dxa"/>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1.信访举报投诉类申请</w:t>
            </w:r>
          </w:p>
        </w:tc>
        <w:tc>
          <w:tcPr>
            <w:tcW w:w="714" w:type="dxa"/>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43E5A0BD">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2.重复申请</w:t>
            </w:r>
          </w:p>
        </w:tc>
        <w:tc>
          <w:tcPr>
            <w:tcW w:w="714" w:type="dxa"/>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089971EE">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3.要求提供公开出版物</w:t>
            </w:r>
          </w:p>
        </w:tc>
        <w:tc>
          <w:tcPr>
            <w:tcW w:w="714" w:type="dxa"/>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3A4F07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4.无正当理由大量反复申请</w:t>
            </w:r>
          </w:p>
        </w:tc>
        <w:tc>
          <w:tcPr>
            <w:tcW w:w="714" w:type="dxa"/>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7E12FDD5">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714" w:type="dxa"/>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714" w:type="dxa"/>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530DB175">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714" w:type="dxa"/>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627" w:type="dxa"/>
            <w:vMerge w:val="continue"/>
            <w:noWrap w:val="0"/>
            <w:tcMar>
              <w:left w:w="57" w:type="dxa"/>
              <w:right w:w="57" w:type="dxa"/>
            </w:tcMar>
            <w:vAlign w:val="center"/>
          </w:tcPr>
          <w:p w14:paraId="2298F563">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3.其他</w:t>
            </w:r>
          </w:p>
        </w:tc>
        <w:tc>
          <w:tcPr>
            <w:tcW w:w="714" w:type="dxa"/>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kinsoku/>
              <w:wordWrap/>
              <w:overflowPunct/>
              <w:topLinePunct w:val="0"/>
              <w:autoSpaceDE/>
              <w:autoSpaceDN/>
              <w:bidi w:val="0"/>
              <w:adjustRightInd/>
              <w:snapToGrid w:val="0"/>
              <w:spacing w:line="360" w:lineRule="exact"/>
              <w:jc w:val="left"/>
              <w:textAlignment w:val="auto"/>
              <w:rPr>
                <w:rFonts w:hint="default" w:ascii="Times New Roman" w:hAnsi="Times New Roman" w:cs="Times New Roman"/>
                <w:sz w:val="20"/>
                <w:szCs w:val="20"/>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（七）总计</w:t>
            </w:r>
          </w:p>
        </w:tc>
        <w:tc>
          <w:tcPr>
            <w:tcW w:w="714" w:type="dxa"/>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cs="Times New Roman"/>
                <w:sz w:val="20"/>
                <w:szCs w:val="20"/>
              </w:rPr>
            </w:pPr>
            <w:r>
              <w:rPr>
                <w:rFonts w:hint="default" w:ascii="Times New Roman" w:hAnsi="Times New Roman" w:eastAsia="宋体" w:cs="Times New Roman"/>
                <w:kern w:val="0"/>
                <w:sz w:val="20"/>
                <w:szCs w:val="20"/>
                <w:lang w:val="en-US" w:eastAsia="zh-CN" w:bidi="ar"/>
              </w:rPr>
              <w:t>四、结转下年度继续办理</w:t>
            </w:r>
          </w:p>
        </w:tc>
        <w:tc>
          <w:tcPr>
            <w:tcW w:w="714" w:type="dxa"/>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714" w:type="dxa"/>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c>
          <w:tcPr>
            <w:tcW w:w="680" w:type="dxa"/>
            <w:noWrap w:val="0"/>
            <w:tcMar>
              <w:left w:w="57" w:type="dxa"/>
              <w:right w:w="57" w:type="dxa"/>
            </w:tcMar>
            <w:vAlign w:val="center"/>
          </w:tcPr>
          <w:p w14:paraId="204CE713">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0</w:t>
            </w:r>
          </w:p>
        </w:tc>
      </w:tr>
    </w:tbl>
    <w:p w14:paraId="530988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default" w:ascii="Times New Roman" w:hAnsi="Times New Roman" w:eastAsia="宋体" w:cs="Times New Roman"/>
          <w:i w:val="0"/>
          <w:iCs w:val="0"/>
          <w:caps w:val="0"/>
          <w:color w:val="333333"/>
          <w:spacing w:val="0"/>
          <w:sz w:val="20"/>
          <w:szCs w:val="20"/>
        </w:rPr>
      </w:pPr>
      <w:r>
        <w:rPr>
          <w:rFonts w:hint="default" w:ascii="Times New Roman" w:hAnsi="Times New Roman" w:eastAsia="黑体" w:cs="Times New Roman"/>
          <w:b w:val="0"/>
          <w:bCs w:val="0"/>
          <w:i w:val="0"/>
          <w:iCs w:val="0"/>
          <w:caps w:val="0"/>
          <w:color w:val="333333"/>
          <w:spacing w:val="0"/>
          <w:sz w:val="32"/>
          <w:szCs w:val="32"/>
          <w:shd w:val="clear" w:color="auto" w:fill="FFFFFF"/>
        </w:rPr>
        <w:t>四、政府信息公开行政复议、行政诉讼情况</w:t>
      </w:r>
    </w:p>
    <w:tbl>
      <w:tblPr>
        <w:tblStyle w:val="8"/>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eastAsia="宋体" w:cs="Times New Roman"/>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color w:val="000000"/>
                <w:sz w:val="20"/>
                <w:szCs w:val="20"/>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color w:val="000000"/>
                <w:sz w:val="20"/>
                <w:szCs w:val="20"/>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color w:val="000000"/>
                <w:sz w:val="20"/>
                <w:szCs w:val="20"/>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color w:val="000000"/>
                <w:sz w:val="20"/>
                <w:szCs w:val="20"/>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260" w:lineRule="exact"/>
              <w:jc w:val="center"/>
              <w:textAlignment w:val="auto"/>
              <w:rPr>
                <w:rFonts w:hint="default" w:ascii="Times New Roman" w:hAnsi="Times New Roman" w:cs="Times New Roman"/>
                <w:color w:val="000000"/>
                <w:sz w:val="20"/>
                <w:szCs w:val="20"/>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0</w:t>
            </w:r>
          </w:p>
        </w:tc>
      </w:tr>
    </w:tbl>
    <w:p w14:paraId="5A5CC7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五、存在的主要问题及改进情况</w:t>
      </w:r>
    </w:p>
    <w:p w14:paraId="59187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（一）存在的主要问题</w:t>
      </w:r>
    </w:p>
    <w:p w14:paraId="2BF67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本年度工作取得积极成效，但还存在一些问题和不足：一是主动公开有待进一步规范。二是政策解读水平有待进一步提升。三是回应关切有待进一步加强。</w:t>
      </w:r>
    </w:p>
    <w:p w14:paraId="5A4904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（二）改进情况</w:t>
      </w:r>
    </w:p>
    <w:p w14:paraId="69A75C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年，将从以下几方面加以改进：</w:t>
      </w:r>
      <w:r>
        <w:rPr>
          <w:rFonts w:hint="eastAsia" w:ascii="楷体_GB2312" w:hAnsi="楷体_GB2312" w:eastAsia="楷体_GB2312" w:cs="楷体_GB2312"/>
          <w:b/>
          <w:bCs/>
          <w:color w:val="auto"/>
          <w:kern w:val="2"/>
          <w:sz w:val="32"/>
          <w:szCs w:val="32"/>
          <w:highlight w:val="none"/>
          <w:lang w:val="en-US" w:eastAsia="zh-CN" w:bidi="ar-SA"/>
        </w:rPr>
        <w:t>一是提升信息公开水平。</w:t>
      </w:r>
      <w:r>
        <w:rPr>
          <w:rFonts w:hint="default" w:ascii="Times New Roman" w:hAnsi="Times New Roman" w:eastAsia="仿宋_GB2312" w:cs="Times New Roman"/>
          <w:color w:val="auto"/>
          <w:kern w:val="2"/>
          <w:sz w:val="32"/>
          <w:szCs w:val="32"/>
          <w:highlight w:val="none"/>
          <w:lang w:val="en-US" w:eastAsia="zh-CN" w:bidi="ar-SA"/>
        </w:rPr>
        <w:t>以局政府门户网站政府信息公开平台为依托，推动公开内容进一步聚焦重点政务信息、公开方式更加统一规范。</w:t>
      </w:r>
      <w:r>
        <w:rPr>
          <w:rFonts w:hint="eastAsia" w:ascii="楷体_GB2312" w:hAnsi="楷体_GB2312" w:eastAsia="楷体_GB2312" w:cs="楷体_GB2312"/>
          <w:b/>
          <w:bCs/>
          <w:color w:val="auto"/>
          <w:kern w:val="2"/>
          <w:sz w:val="32"/>
          <w:szCs w:val="32"/>
          <w:highlight w:val="none"/>
          <w:lang w:val="en-US" w:eastAsia="zh-CN" w:bidi="ar-SA"/>
        </w:rPr>
        <w:t>二是优化政府网站管理。</w:t>
      </w:r>
      <w:r>
        <w:rPr>
          <w:rFonts w:hint="default" w:ascii="Times New Roman" w:hAnsi="Times New Roman" w:eastAsia="仿宋_GB2312" w:cs="Times New Roman"/>
          <w:color w:val="auto"/>
          <w:kern w:val="2"/>
          <w:sz w:val="32"/>
          <w:szCs w:val="32"/>
          <w:highlight w:val="none"/>
          <w:lang w:val="en-US" w:eastAsia="zh-CN" w:bidi="ar-SA"/>
        </w:rPr>
        <w:t>加强对我局政府门户网站的日常监管，发现问题及时整改，优化网站栏目设置和功能设计，确保信息发布及时、准确、规范，为公众了解文体广电旅游信息提供更为便捷的服务。</w:t>
      </w:r>
      <w:r>
        <w:rPr>
          <w:rFonts w:hint="eastAsia" w:ascii="楷体_GB2312" w:hAnsi="楷体_GB2312" w:eastAsia="楷体_GB2312" w:cs="楷体_GB2312"/>
          <w:b/>
          <w:bCs/>
          <w:color w:val="auto"/>
          <w:kern w:val="2"/>
          <w:sz w:val="32"/>
          <w:szCs w:val="32"/>
          <w:highlight w:val="none"/>
          <w:lang w:val="en-US" w:eastAsia="zh-CN" w:bidi="ar-SA"/>
        </w:rPr>
        <w:t>三是强化政策文件解读。</w:t>
      </w:r>
      <w:r>
        <w:rPr>
          <w:rFonts w:hint="default" w:ascii="Times New Roman" w:hAnsi="Times New Roman" w:eastAsia="仿宋_GB2312" w:cs="Times New Roman"/>
          <w:color w:val="auto"/>
          <w:kern w:val="2"/>
          <w:sz w:val="32"/>
          <w:szCs w:val="32"/>
          <w:highlight w:val="none"/>
          <w:lang w:val="en-US" w:eastAsia="zh-CN" w:bidi="ar-SA"/>
        </w:rPr>
        <w:t>健全政策解读机制，力争做到政策文件与解读材料同步组织、同步部署、同步发布。发布更多权威准确、形式多样的政策解读产品，完善政策文件与解读材料关联功能，为公众查阅政策文件提供便利。</w:t>
      </w:r>
      <w:r>
        <w:rPr>
          <w:rFonts w:hint="eastAsia" w:ascii="楷体_GB2312" w:hAnsi="楷体_GB2312" w:eastAsia="楷体_GB2312" w:cs="楷体_GB2312"/>
          <w:b/>
          <w:bCs/>
          <w:color w:val="auto"/>
          <w:kern w:val="2"/>
          <w:sz w:val="32"/>
          <w:szCs w:val="32"/>
          <w:highlight w:val="none"/>
          <w:lang w:val="en-US" w:eastAsia="zh-CN" w:bidi="ar-SA"/>
        </w:rPr>
        <w:t>四是加强信息队伍建设。</w:t>
      </w:r>
      <w:r>
        <w:rPr>
          <w:rFonts w:hint="default" w:ascii="Times New Roman" w:hAnsi="Times New Roman" w:eastAsia="仿宋_GB2312" w:cs="Times New Roman"/>
          <w:color w:val="auto"/>
          <w:kern w:val="2"/>
          <w:sz w:val="32"/>
          <w:szCs w:val="32"/>
          <w:highlight w:val="none"/>
          <w:lang w:val="en-US" w:eastAsia="zh-CN" w:bidi="ar-SA"/>
        </w:rPr>
        <w:t>通过多种形式开展有针对性的业务培训，提高工作人员的政策把握能力、舆情研判能力、解疑释惑能力和回应引导能力，切实增加信息公开工作人员运用政府信息公开的能力和水平。</w:t>
      </w:r>
    </w:p>
    <w:p w14:paraId="430B16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六、其他需要报告的事项</w:t>
      </w:r>
    </w:p>
    <w:p w14:paraId="5E4199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依据国务院办公厅《政府信息公开信息处理费管理办法》（国办函〔2020〕109号），本年度正宁县文体广电和旅游局未向任何申请主体收取政府信息公开信息处理费。</w:t>
      </w:r>
    </w:p>
    <w:p w14:paraId="07EF48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本报告电子版可在正宁县人民政府门户网站“政府信息公开”专栏“政府信息公开”专栏</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政府信息公开年报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栏目(https://www.zninfo.gov.cn/zwgk/zfxxgknb)查阅下载。如有疑问或意见建议，请与正宁县</w:t>
      </w:r>
      <w:r>
        <w:rPr>
          <w:rFonts w:hint="eastAsia" w:ascii="Times New Roman" w:hAnsi="Times New Roman" w:eastAsia="仿宋_GB2312" w:cs="Times New Roman"/>
          <w:color w:val="auto"/>
          <w:kern w:val="2"/>
          <w:sz w:val="32"/>
          <w:szCs w:val="32"/>
          <w:highlight w:val="none"/>
          <w:lang w:val="en-US" w:eastAsia="zh-CN" w:bidi="ar-SA"/>
        </w:rPr>
        <w:t>文体广电和旅游局</w:t>
      </w:r>
      <w:r>
        <w:rPr>
          <w:rFonts w:hint="default" w:ascii="Times New Roman" w:hAnsi="Times New Roman" w:eastAsia="仿宋_GB2312" w:cs="Times New Roman"/>
          <w:color w:val="auto"/>
          <w:kern w:val="2"/>
          <w:sz w:val="32"/>
          <w:szCs w:val="32"/>
          <w:highlight w:val="none"/>
          <w:lang w:val="en-US" w:eastAsia="zh-CN" w:bidi="ar-SA"/>
        </w:rPr>
        <w:t>办公室联系，联系电话:0934-6121</w:t>
      </w:r>
      <w:r>
        <w:rPr>
          <w:rFonts w:hint="eastAsia" w:ascii="Times New Roman" w:hAnsi="Times New Roman" w:eastAsia="仿宋_GB2312" w:cs="Times New Roman"/>
          <w:color w:val="auto"/>
          <w:kern w:val="2"/>
          <w:sz w:val="32"/>
          <w:szCs w:val="32"/>
          <w:highlight w:val="none"/>
          <w:lang w:val="en-US" w:eastAsia="zh-CN" w:bidi="ar-SA"/>
        </w:rPr>
        <w:t>759</w:t>
      </w:r>
      <w:r>
        <w:rPr>
          <w:rFonts w:hint="default" w:ascii="Times New Roman" w:hAnsi="Times New Roman" w:eastAsia="仿宋_GB2312" w:cs="Times New Roman"/>
          <w:color w:val="auto"/>
          <w:kern w:val="2"/>
          <w:sz w:val="32"/>
          <w:szCs w:val="32"/>
          <w:highlight w:val="none"/>
          <w:lang w:val="en-US" w:eastAsia="zh-CN" w:bidi="ar-SA"/>
        </w:rPr>
        <w:t>。</w:t>
      </w:r>
    </w:p>
    <w:sectPr>
      <w:headerReference r:id="rId4" w:type="first"/>
      <w:footerReference r:id="rId6" w:type="first"/>
      <w:headerReference r:id="rId3" w:type="default"/>
      <w:footerReference r:id="rId5"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043307A"/>
    <w:rsid w:val="0185036B"/>
    <w:rsid w:val="02920922"/>
    <w:rsid w:val="08010F47"/>
    <w:rsid w:val="1D7B3BE8"/>
    <w:rsid w:val="1D9B6CA0"/>
    <w:rsid w:val="23C76CA9"/>
    <w:rsid w:val="31D27F71"/>
    <w:rsid w:val="46BD3AEE"/>
    <w:rsid w:val="52651C4A"/>
    <w:rsid w:val="6DB5BB06"/>
    <w:rsid w:val="6FEF69FB"/>
    <w:rsid w:val="70966FDB"/>
    <w:rsid w:val="71AF3D04"/>
    <w:rsid w:val="76DF292A"/>
    <w:rsid w:val="777F2055"/>
    <w:rsid w:val="77ED6E0A"/>
    <w:rsid w:val="7BFEFA79"/>
    <w:rsid w:val="AF35F303"/>
    <w:rsid w:val="BEBA9F4A"/>
    <w:rsid w:val="C7BD867F"/>
    <w:rsid w:val="D6FF6D0A"/>
    <w:rsid w:val="D7EECC8A"/>
    <w:rsid w:val="DFDE1D6A"/>
    <w:rsid w:val="E5FF8CD0"/>
    <w:rsid w:val="F5167C54"/>
    <w:rsid w:val="FDEF67FB"/>
    <w:rsid w:val="FF7DEEA9"/>
    <w:rsid w:val="FFF760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index 1"/>
    <w:basedOn w:val="1"/>
    <w:next w:val="1"/>
    <w:qFormat/>
    <w:uiPriority w:val="0"/>
    <w:rPr>
      <w:rFonts w:ascii="Calibri" w:hAnsi="Calibri" w:eastAsia="宋体_x0004_fal"/>
      <w:szCs w:val="2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1130</Words>
  <Characters>1173</Characters>
  <Lines>0</Lines>
  <Paragraphs>0</Paragraphs>
  <TotalTime>14</TotalTime>
  <ScaleCrop>false</ScaleCrop>
  <LinksUpToDate>false</LinksUpToDate>
  <CharactersWithSpaces>1231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2024-12-02T03:42:00Z</dcterms:created>
  <dc:creator>S.A.Q</dc:creator>
  <cp:lastModifiedBy>风声</cp:lastModifiedBy>
  <cp:lastPrinted>2026-01-16T03:04:00Z</cp:lastPrinted>
  <dcterms:modified xsi:type="dcterms:W3CDTF">2026-01-21T14:43:59Z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25F4116ABCF739553D636869B7DFAC61_43</vt:lpwstr>
  </property>
  <property fmtid="{D5CDD505-2E9C-101B-9397-08002B2CF9AE}" pid="4" name="KSOTemplateDocerSaveRecord">
    <vt:lpwstr>eyJoZGlkIjoiNWExYWQxYTkzOThiY2IzY2IyYThkYWQ0NDdkZGUwZGIiLCJ1c2VySWQiOiI1NzY4NTQyODIifQ==</vt:lpwstr>
  </property>
</Properties>
</file>